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0000886982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283"/>
              <w:jc w:val="left"/>
              <w:rPr/>
            </w:pPr>
            <w:r>
              <w:rPr/>
              <w:t>Name of Issuer</w:t>
            </w:r>
          </w:p>
        </w:tc>
        <w:tc>
          <w:tcPr>
            <w:tcW w:w="4160" w:type="dxa"/>
            <w:tcBorders/>
            <w:vAlign w:val="center"/>
          </w:tcPr>
          <w:p>
            <w:pPr>
              <w:pStyle w:val="TableContents"/>
              <w:bidi w:val="0"/>
              <w:spacing w:before="0" w:after="0"/>
              <w:jc w:val="left"/>
              <w:rPr/>
            </w:pPr>
            <w:r>
              <w:rPr/>
              <w:t>Attovia Therapeutics, Inc.</w:t>
            </w:r>
          </w:p>
        </w:tc>
      </w:tr>
      <w:tr>
        <w:trPr/>
        <w:tc>
          <w:tcPr>
            <w:tcW w:w="6045" w:type="dxa"/>
            <w:tcBorders/>
            <w:vAlign w:val="center"/>
          </w:tcPr>
          <w:p>
            <w:pPr>
              <w:pStyle w:val="TableContents"/>
              <w:bidi w:val="0"/>
              <w:spacing w:before="0" w:after="283"/>
              <w:jc w:val="left"/>
              <w:rPr/>
            </w:pPr>
            <w:r>
              <w:rPr/>
              <w:t>SEC File Number</w:t>
            </w:r>
          </w:p>
        </w:tc>
        <w:tc>
          <w:tcPr>
            <w:tcW w:w="4160" w:type="dxa"/>
            <w:tcBorders/>
            <w:vAlign w:val="center"/>
          </w:tcPr>
          <w:p>
            <w:pPr>
              <w:pStyle w:val="TableContents"/>
              <w:bidi w:val="0"/>
              <w:spacing w:before="0" w:after="0"/>
              <w:jc w:val="left"/>
              <w:rPr/>
            </w:pPr>
            <w:r>
              <w:rPr/>
              <w:t>001-43423</w:t>
            </w:r>
          </w:p>
        </w:tc>
      </w:tr>
      <w:tr>
        <w:trPr/>
        <w:tc>
          <w:tcPr>
            <w:tcW w:w="6045" w:type="dxa"/>
            <w:tcBorders/>
            <w:vAlign w:val="center"/>
          </w:tcPr>
          <w:p>
            <w:pPr>
              <w:pStyle w:val="TableContents"/>
              <w:bidi w:val="0"/>
              <w:spacing w:before="0" w:after="283"/>
              <w:jc w:val="left"/>
              <w:rPr/>
            </w:pPr>
            <w:r>
              <w:rPr/>
              <w:t>Address of Issuer</w:t>
            </w:r>
          </w:p>
        </w:tc>
        <w:tc>
          <w:tcPr>
            <w:tcW w:w="4160" w:type="dxa"/>
            <w:tcBorders/>
            <w:vAlign w:val="center"/>
          </w:tcPr>
          <w:p>
            <w:pPr>
              <w:pStyle w:val="TableContents"/>
              <w:bidi w:val="0"/>
              <w:spacing w:before="0" w:after="0"/>
              <w:jc w:val="left"/>
              <w:rPr/>
            </w:pPr>
            <w:r>
              <w:rPr/>
              <w:t>1091 INDUSTRIAL ROAD</w:t>
              <w:br/>
              <w:t>SAN CARLOS</w:t>
              <w:br/>
              <w:t xml:space="preserve">CALIFORNIA </w:t>
              <w:br/>
              <w:t>94070</w:t>
            </w:r>
          </w:p>
        </w:tc>
      </w:tr>
      <w:tr>
        <w:trPr/>
        <w:tc>
          <w:tcPr>
            <w:tcW w:w="6045" w:type="dxa"/>
            <w:tcBorders/>
            <w:vAlign w:val="center"/>
          </w:tcPr>
          <w:p>
            <w:pPr>
              <w:pStyle w:val="TableContents"/>
              <w:bidi w:val="0"/>
              <w:spacing w:before="0" w:after="283"/>
              <w:jc w:val="left"/>
              <w:rPr/>
            </w:pPr>
            <w:r>
              <w:rPr/>
              <w:t>Phone</w:t>
            </w:r>
          </w:p>
        </w:tc>
        <w:tc>
          <w:tcPr>
            <w:tcW w:w="4160" w:type="dxa"/>
            <w:tcBorders/>
            <w:vAlign w:val="center"/>
          </w:tcPr>
          <w:p>
            <w:pPr>
              <w:pStyle w:val="TableContents"/>
              <w:bidi w:val="0"/>
              <w:spacing w:before="0" w:after="0"/>
              <w:jc w:val="left"/>
              <w:rPr/>
            </w:pPr>
            <w:r>
              <w:rPr/>
              <w:t>5103995001</w:t>
            </w:r>
          </w:p>
        </w:tc>
      </w:tr>
      <w:tr>
        <w:trPr/>
        <w:tc>
          <w:tcPr>
            <w:tcW w:w="6045" w:type="dxa"/>
            <w:tcBorders/>
            <w:vAlign w:val="center"/>
          </w:tcPr>
          <w:p>
            <w:pPr>
              <w:pStyle w:val="TableContents"/>
              <w:bidi w:val="0"/>
              <w:spacing w:before="0" w:after="283"/>
              <w:jc w:val="left"/>
              <w:rPr/>
            </w:pPr>
            <w:r>
              <w:rPr/>
              <w:t>Name of Person for Whose Account the Securities are To Be Sold</w:t>
            </w:r>
          </w:p>
        </w:tc>
        <w:tc>
          <w:tcPr>
            <w:tcW w:w="4160" w:type="dxa"/>
            <w:tcBorders/>
            <w:vAlign w:val="center"/>
          </w:tcPr>
          <w:p>
            <w:pPr>
              <w:pStyle w:val="TableContents"/>
              <w:bidi w:val="0"/>
              <w:spacing w:before="0" w:after="0"/>
              <w:jc w:val="left"/>
              <w:rPr/>
            </w:pPr>
            <w:r>
              <w:rPr/>
              <w:t>GOLDMAN SACHS GROUP INC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5" w:type="dxa"/>
            <w:tcBorders/>
            <w:vAlign w:val="center"/>
          </w:tcPr>
          <w:p>
            <w:pPr>
              <w:pStyle w:val="TableContents"/>
              <w:bidi w:val="0"/>
              <w:spacing w:before="0" w:after="283"/>
              <w:jc w:val="left"/>
              <w:rPr/>
            </w:pPr>
            <w:r>
              <w:rPr/>
              <w:t>Relationship to Issuer</w:t>
            </w:r>
          </w:p>
        </w:tc>
        <w:tc>
          <w:tcPr>
            <w:tcW w:w="4160" w:type="dxa"/>
            <w:tcBorders/>
            <w:vAlign w:val="center"/>
          </w:tcPr>
          <w:p>
            <w:pPr>
              <w:pStyle w:val="TableContents"/>
              <w:bidi w:val="0"/>
              <w:spacing w:before="0" w:after="0"/>
              <w:jc w:val="left"/>
              <w:rPr/>
            </w:pPr>
            <w:r>
              <w:rPr/>
              <w:t>Former 10% 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105807</w:t>
            </w:r>
          </w:p>
        </w:tc>
        <w:tc>
          <w:tcPr>
            <w:tcW w:w="1467" w:type="dxa"/>
            <w:tcBorders/>
            <w:vAlign w:val="center"/>
          </w:tcPr>
          <w:p>
            <w:pPr>
              <w:pStyle w:val="TableContents"/>
              <w:bidi w:val="0"/>
              <w:spacing w:before="0" w:after="283"/>
              <w:jc w:val="left"/>
              <w:rPr/>
            </w:pPr>
            <w:r>
              <w:rPr/>
              <w:t>2221947.00</w:t>
            </w:r>
          </w:p>
        </w:tc>
        <w:tc>
          <w:tcPr>
            <w:tcW w:w="1556" w:type="dxa"/>
            <w:tcBorders/>
            <w:vAlign w:val="center"/>
          </w:tcPr>
          <w:p>
            <w:pPr>
              <w:pStyle w:val="TableContents"/>
              <w:bidi w:val="0"/>
              <w:spacing w:before="0" w:after="283"/>
              <w:jc w:val="left"/>
              <w:rPr/>
            </w:pPr>
            <w:r>
              <w:rPr/>
              <w:t>43029017</w:t>
            </w:r>
          </w:p>
        </w:tc>
        <w:tc>
          <w:tcPr>
            <w:tcW w:w="1569" w:type="dxa"/>
            <w:tcBorders/>
            <w:vAlign w:val="center"/>
          </w:tcPr>
          <w:p>
            <w:pPr>
              <w:pStyle w:val="TableContents"/>
              <w:bidi w:val="0"/>
              <w:spacing w:before="0" w:after="283"/>
              <w:jc w:val="left"/>
              <w:rPr/>
            </w:pPr>
            <w:r>
              <w:rPr/>
              <w:t>08/05/2026</w:t>
            </w:r>
          </w:p>
        </w:tc>
        <w:tc>
          <w:tcPr>
            <w:tcW w:w="1385" w:type="dxa"/>
            <w:tcBorders/>
            <w:vAlign w:val="center"/>
          </w:tcPr>
          <w:p>
            <w:pPr>
              <w:pStyle w:val="TableContents"/>
              <w:bidi w:val="0"/>
              <w:spacing w:before="0" w:after="0"/>
              <w:jc w:val="left"/>
              <w:rPr/>
            </w:pPr>
            <w:r>
              <w:rPr/>
              <w:t>See Remarks (1)</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08/05/2026</w:t>
            </w:r>
          </w:p>
        </w:tc>
        <w:tc>
          <w:tcPr>
            <w:tcW w:w="1505" w:type="dxa"/>
            <w:tcBorders/>
            <w:vAlign w:val="center"/>
          </w:tcPr>
          <w:p>
            <w:pPr>
              <w:pStyle w:val="TableContents"/>
              <w:bidi w:val="0"/>
              <w:spacing w:before="0" w:after="283"/>
              <w:jc w:val="left"/>
              <w:rPr/>
            </w:pPr>
            <w:r>
              <w:rPr/>
              <w:t>See Remarks (2)</w:t>
            </w:r>
          </w:p>
        </w:tc>
        <w:tc>
          <w:tcPr>
            <w:tcW w:w="1218" w:type="dxa"/>
            <w:tcBorders/>
            <w:vAlign w:val="center"/>
          </w:tcPr>
          <w:p>
            <w:pPr>
              <w:pStyle w:val="TableContents"/>
              <w:bidi w:val="0"/>
              <w:spacing w:before="0" w:after="283"/>
              <w:jc w:val="left"/>
              <w:rPr/>
            </w:pPr>
            <w:r>
              <w:rPr/>
              <w:t>See Remarks (2)</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105807</w:t>
            </w:r>
          </w:p>
        </w:tc>
        <w:tc>
          <w:tcPr>
            <w:tcW w:w="1078" w:type="dxa"/>
            <w:tcBorders/>
            <w:vAlign w:val="center"/>
          </w:tcPr>
          <w:p>
            <w:pPr>
              <w:pStyle w:val="TableContents"/>
              <w:bidi w:val="0"/>
              <w:spacing w:before="0" w:after="283"/>
              <w:jc w:val="left"/>
              <w:rPr/>
            </w:pPr>
            <w:r>
              <w:rPr/>
              <w:t>08/05/2026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18"/>
        <w:gridCol w:w="8687"/>
      </w:tblGrid>
      <w:tr>
        <w:trPr/>
        <w:tc>
          <w:tcPr>
            <w:tcW w:w="1518" w:type="dxa"/>
            <w:tcBorders/>
            <w:vAlign w:val="center"/>
          </w:tcPr>
          <w:p>
            <w:pPr>
              <w:pStyle w:val="TableContents"/>
              <w:bidi w:val="0"/>
              <w:spacing w:before="0" w:after="283"/>
              <w:jc w:val="left"/>
              <w:rPr/>
            </w:pPr>
            <w:r>
              <w:rPr/>
              <w:t>Remarks</w:t>
            </w:r>
          </w:p>
        </w:tc>
        <w:tc>
          <w:tcPr>
            <w:tcW w:w="8687" w:type="dxa"/>
            <w:tcBorders/>
            <w:vAlign w:val="center"/>
          </w:tcPr>
          <w:p>
            <w:pPr>
              <w:pStyle w:val="TableContents"/>
              <w:bidi w:val="0"/>
              <w:spacing w:before="0" w:after="0"/>
              <w:jc w:val="left"/>
              <w:rPr/>
            </w:pPr>
            <w:r>
              <w:rPr/>
              <w:t>(1) CBOE, IEX, MEMX and Nasdaq. (2) Shares sold were acquired through securities borrowing by Goldman Sachs &amp; Co. LLC acting as a market maker in the ordinary course of business.</w:t>
            </w:r>
          </w:p>
        </w:tc>
      </w:tr>
      <w:tr>
        <w:trPr/>
        <w:tc>
          <w:tcPr>
            <w:tcW w:w="1518" w:type="dxa"/>
            <w:tcBorders/>
            <w:vAlign w:val="center"/>
          </w:tcPr>
          <w:p>
            <w:pPr>
              <w:pStyle w:val="TableContents"/>
              <w:bidi w:val="0"/>
              <w:spacing w:before="0" w:after="283"/>
              <w:jc w:val="left"/>
              <w:rPr/>
            </w:pPr>
            <w:r>
              <w:rPr/>
              <w:t>Date of Notice</w:t>
            </w:r>
          </w:p>
        </w:tc>
        <w:tc>
          <w:tcPr>
            <w:tcW w:w="8687" w:type="dxa"/>
            <w:tcBorders/>
            <w:vAlign w:val="center"/>
          </w:tcPr>
          <w:p>
            <w:pPr>
              <w:pStyle w:val="TableContents"/>
              <w:bidi w:val="0"/>
              <w:spacing w:before="0" w:after="0"/>
              <w:jc w:val="left"/>
              <w:rPr/>
            </w:pPr>
            <w:r>
              <w:rPr/>
              <w:t>08/28/2026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18" w:type="dxa"/>
            <w:tcBorders/>
            <w:vAlign w:val="center"/>
          </w:tcPr>
          <w:p>
            <w:pPr>
              <w:pStyle w:val="TableContents"/>
              <w:bidi w:val="0"/>
              <w:spacing w:before="0" w:after="283"/>
              <w:jc w:val="left"/>
              <w:rPr/>
            </w:pPr>
            <w:r>
              <w:rPr/>
              <w:t>Signature</w:t>
            </w:r>
          </w:p>
        </w:tc>
        <w:tc>
          <w:tcPr>
            <w:tcW w:w="8687" w:type="dxa"/>
            <w:tcBorders/>
            <w:vAlign w:val="center"/>
          </w:tcPr>
          <w:p>
            <w:pPr>
              <w:pStyle w:val="TableContents"/>
              <w:bidi w:val="0"/>
              <w:spacing w:before="0" w:after="0"/>
              <w:jc w:val="left"/>
              <w:rPr/>
            </w:pPr>
            <w:r>
              <w:rPr/>
              <w:t>/s/ Crystal Orgill,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3067</Characters>
  <CharactersWithSpaces>3625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