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atto-20260630.htm"/>
        <w:bookmarkStart w:id="1" w:name="ksatto202606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transition period from ________ to 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001-43423</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Attovia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2791"/>
        <w:gridCol w:w="1246"/>
      </w:tblGrid>
      <w:tr>
        <w:trPr/>
        <w:tc>
          <w:tcPr>
            <w:tcW w:w="27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92-1510574</w:t>
            </w:r>
          </w:p>
        </w:tc>
      </w:tr>
      <w:tr>
        <w:trPr/>
        <w:tc>
          <w:tcPr>
            <w:tcW w:w="27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7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1091 Industrial Road, Suite 310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Carlos,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94070</w:t>
            </w:r>
          </w:p>
        </w:tc>
      </w:tr>
      <w:tr>
        <w:trPr/>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(510) 399-5001</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ATTO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As of August 31, 2026, the registrant had 45,651,262 shares of common stock, $0.0001 par value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173" w:type="dxa"/>
        <w:jc w:val="left"/>
        <w:tblInd w:w="0" w:type="dxa"/>
        <w:tblLayout w:type="fixed"/>
        <w:tblCellMar>
          <w:top w:w="28" w:type="dxa"/>
          <w:left w:w="28" w:type="dxa"/>
          <w:bottom w:w="28" w:type="dxa"/>
          <w:right w:w="28" w:type="dxa"/>
        </w:tblCellMar>
      </w:tblPr>
      <w:tblGrid>
        <w:gridCol w:w="841"/>
        <w:gridCol w:w="8761"/>
        <w:gridCol w:w="571"/>
      </w:tblGrid>
      <w:tr>
        <w:trPr/>
        <w:tc>
          <w:tcPr>
            <w:tcW w:w="841" w:type="dxa"/>
            <w:tcBorders/>
            <w:vAlign w:val="center"/>
          </w:tcPr>
          <w:p>
            <w:pPr>
              <w:pStyle w:val="TableContents"/>
              <w:bidi w:val="0"/>
              <w:spacing w:before="0" w:after="283"/>
              <w:jc w:val="left"/>
              <w:rPr>
                <w:sz w:val="4"/>
                <w:szCs w:val="4"/>
              </w:rPr>
            </w:pPr>
            <w:r>
              <w:rPr>
                <w:sz w:val="4"/>
                <w:szCs w:val="4"/>
              </w:rPr>
            </w:r>
          </w:p>
        </w:tc>
        <w:tc>
          <w:tcPr>
            <w:tcW w:w="87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_operations_comp_loss">
              <w:r>
                <w:rPr>
                  <w:rStyle w:val="InternetLink"/>
                  <w:rFonts w:ascii="Times New Roman" w:hAnsi="Times New Roman"/>
                  <w:color w:val="0000FF"/>
                  <w:sz w:val="20"/>
                  <w:u w:val="single"/>
                </w:rPr>
                <w:t>Condensed Consolidated Statements of Operations and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_redeemabl_convertible">
              <w:r>
                <w:rPr>
                  <w:rStyle w:val="InternetLink"/>
                  <w:rFonts w:ascii="Times New Roman" w:hAnsi="Times New Roman"/>
                  <w:color w:val="0000FF"/>
                  <w:sz w:val="20"/>
                  <w:u w:val="single"/>
                </w:rPr>
                <w:t>Condensed Consolidated Statements of Redeemable Convertible Preferred Stock and Stockholders’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quantitative_qualitative_disclosur">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34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and Section 27A of the Securities Act of 1933, as amended. In some cases, you can identify forward-looking statements by terms such as “believe,” “may,” “will,” “potentially,” “estimate,” “continue,” “anticipate,” “intend,” “could,” “would,” “project,” “plan,” “expect” and similar expressions that convey uncertainty of future events or outcomes, although not all forward-looking statements contain these words. These forward-looking statements are subject to a number of risks, uncertainties and assumptions, including those described in the section titled “Risk Factors” and elsewhere in this Quarterly Report on Form 10-Q.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on Form 10-Q include, among other things,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timing, progress, results and costs of our clinical trials for ATTO-1310, ATTO-2306 and ATTO-1091, as well as any future preclinical studies and clinical trials and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our ability to obtain and maintain regulatory approvals for ATTO-1310, ATTO-2306, ATTO-1091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funding for our operations, including funding necessary to complete further clinical development and commercialization of ATTO-1310, ATTO-2306, ATTO-1091 and further discovery, development and commercialization of earlier stage and future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the addressable market for our current and any future product candidates, and market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to develop and, if approved, commercialize ATTO-1310 for the treatment of chronic pruritic diseases, including chronic pruritus of unknown origin, high-itch atopic dermatitis (AD), cholestatic pruritus in primary biliary cholangitis and primary sclerosing cholangitis and chronic kidney disease-associated pruritus, ATTO-2306 for the treatment of AD and other inflammatory skin diseases, such as chronic spontaneous urticaria and prurigo nodularis, and ATTO-1091 for the treatment of inflammatory bowel disease;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demand for, and market acceptance of, our current and any future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market or commercialize any product candidates we may develop and to compete effectively with existing competitors and new market entrants;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maintain, protect and enforce intellectual property and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our pipeline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effects of extensive government regulations relating to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operate our business without infringing, misappropriating or otherwise violating the intellectual property rights and proprietary technology of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the continued service of our key professionals and consultants and to identify, hire and retain key management and technical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any future collaboration and current or future licensing arrangements with third parties, including our ability to reach development milestones under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natural disasters, terrorist activity, pandemics and other events beyond our control on any of the above or any other aspect of our business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global macroeconomic, industry and market conditions in either domestic or international markets, as well as economic conditions specifically affecting industries in which we operate, including but not limited to, actual or perceived instability in the global banking industry, potential uncertainty with respect to the U.S. federal debt ceiling and budget and potential government shutdowns related thereto, labor shortages, supply chain disruptions, potential recession, inflation and changing interest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natural and man-made global events on our business, including political instability and military hostilities in multiple geographies, including global responses thereto;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expenses, future revenue, capital requirements and our need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stock by us, our insiders or our stockholders, as well as the anticipation of lock-up releases or 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or a smaller reporting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adequate internal controls over financial reporting and to manage our business in accordance with applicable laws and the highly regulated industry in which we participate.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caution you that the foregoing list may not contain all of the forward-looking statements made in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made in this Quarterly Report on Form 10-Q relate only to events or information as of the date on which the statements are made in this Quarterly Report on Form 10-Q.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reference herein and have filed with the SEC as exhibits to this Quarterly Report on Form 10-Q with the understanding that our actual future results, levels of activity, performance and events and circumstances may be materially different from what we expect. We qualify all of the forward-looking statements in this Quarterly Report on Form 10-Q by these cautionary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a number of risks and uncertainties, including those highlighted in the section titled “Risk Factors.” These risks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not completed any clinical trials and have no products approved for commercial sale, which may make it difficult for investors to evaluate our business, likelihood of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our inception and have not generated any product revenue. We expect to incur significant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product candidates, ATTO-1310, ATTO-2306 and ATTO-1091. If we are unable to advance the development of, receive regulatory approval for, and ultimately successfully commercialize ATTO-1310, ATTO-2306 or ATTO-1091,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is a lengthy and expensive process, the outcome of clinical testing is inherently uncertain, and results of earlier preclinical studies and clinical trials may not be predictive of future clinical trial results. We may incur additional costs or experience delays in completing, or ultimately be unable to complete, the development and commercialization of ATTO-1310, ATTO-2306, ATTO-1091 and any future product candidates for many reasons, including a failure to replicate positive results from earlier preclinical studies or clinical trials in ongoing or future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performance is dependent on our ability to retain key employees and to attract, retain and motivate qualified personnel and manage our human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expand our development, clinical and regulatory capabilities and operations as we grow, and as a result, we may encounter difficulties in managing our growth, which could disrupt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and annual operating results may fluctuate significantly or may fall below the expectations of investors or securities analysts, each of which may cause our stock price to fluctuate or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or other necessary rights for any of our current or future product candidates and technology, or if the scope of the patent protection obtained is not sufficiently broad or our rights under our patents are not sufficiently broad, our competitors could develop and commercialize products and technology similar or identical to ours, and our ability to successfully commercialize our products and technology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manufacture our product candidates and clinical product supplies and we may not be able to obtain adequate supplies at a reasonable cost or in a timely way.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is highly uncertain, and we may be unable to obtain, or may be delayed in obtaining, U.S. or foreign regulatory approval and, as a result, unable to commercialize ATTO-1310, ATTO-2306, ATTO-1091 and any future product candidates. Even if we believe our current, or planned clinical trials are successful, regulatory authorities may not agree that they provide adequate data on safety or efficacy.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Attovia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 (unaudited)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98"/>
        <w:gridCol w:w="146"/>
        <w:gridCol w:w="223"/>
        <w:gridCol w:w="892"/>
        <w:gridCol w:w="166"/>
        <w:gridCol w:w="146"/>
        <w:gridCol w:w="289"/>
        <w:gridCol w:w="1152"/>
        <w:gridCol w:w="593"/>
      </w:tblGrid>
      <w:tr>
        <w:trPr/>
        <w:tc>
          <w:tcPr>
            <w:tcW w:w="6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156,295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(including related party amounts of $32 and $39 at June 30, 2026</w:t>
              <w:br/>
              <w:t>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 - $0.0001 par value; 199,902,270 shares</w:t>
              <w:br/>
              <w:t>   authorized, issued and outstanding at June 30, 2026 and December 31, 2025; aggregate</w:t>
              <w:br/>
              <w:t>   liquidation preference of $255,850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$0.0001 par value; 284,023,000 shares authorized at June 30, 2026</w:t>
              <w:br/>
              <w:t>   and December 31, 2025; 4,529,100 and 4,507,108 shares issued and outstanding at</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Attovia Therapeutics, Inc.</w:t>
      </w:r>
    </w:p>
    <w:p>
      <w:pPr>
        <w:pStyle w:val="TextBody"/>
        <w:bidi w:val="0"/>
        <w:jc w:val="center"/>
        <w:rPr>
          <w:rFonts w:ascii="Times New Roman" w:hAnsi="Times New Roman"/>
          <w:sz w:val="20"/>
        </w:rPr>
      </w:pPr>
      <w:bookmarkStart w:id="6" w:name="consolidated_stmt_operations_comp_loss"/>
      <w:bookmarkEnd w:id="6"/>
      <w:r>
        <w:rPr>
          <w:rFonts w:ascii="Times New Roman" w:hAnsi="Times New Roman"/>
          <w:b/>
          <w:color w:val="000000"/>
          <w:sz w:val="20"/>
        </w:rPr>
        <w:t>Condensed Consolidated Statements of Operations and Comprehensive Loss (unaudited)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44"/>
        <w:gridCol w:w="146"/>
        <w:gridCol w:w="211"/>
        <w:gridCol w:w="931"/>
        <w:gridCol w:w="166"/>
        <w:gridCol w:w="146"/>
        <w:gridCol w:w="211"/>
        <w:gridCol w:w="931"/>
        <w:gridCol w:w="166"/>
        <w:gridCol w:w="146"/>
        <w:gridCol w:w="211"/>
        <w:gridCol w:w="931"/>
        <w:gridCol w:w="166"/>
        <w:gridCol w:w="146"/>
        <w:gridCol w:w="211"/>
        <w:gridCol w:w="931"/>
        <w:gridCol w:w="411"/>
      </w:tblGrid>
      <w:tr>
        <w:trPr/>
        <w:tc>
          <w:tcPr>
            <w:tcW w:w="4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(including related party amounts of</w:t>
              <w:br/>
              <w:t>   $178 and $34 for the three months ended June 30, 2026 and</w:t>
              <w:br/>
              <w:t>   2025, respectively, and $238 and $41 for the six months</w:t>
              <w:br/>
              <w:t>   ended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(including related party amounts of</w:t>
              <w:br/>
              <w:t>   $0 for the three months ended June 30, 2026 and 2025,</w:t>
              <w:br/>
              <w:t>   and $0 and $239 for the six months ended June 30, 2026 and</w:t>
              <w:br/>
              <w:t>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preferred stock tranche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redeemable convertible preferred stock to its</w:t>
              <w:br/>
              <w:t>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w:t>
              <w:br/>
              <w:t>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w:t>
              <w:br/>
              <w:t>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3,851,124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
        </w:rPr>
      </w:pPr>
      <w:r>
        <w:rPr>
          <w:rFonts w:ascii="Times New Roman" w:hAnsi="Times New Roman"/>
          <w:b/>
          <w:color w:val="000000"/>
          <w:sz w:val="20"/>
        </w:rPr>
        <w:t>Attovia Therapeutics, Inc.</w:t>
      </w:r>
      <w:r>
        <w:rPr>
          <w:rFonts w:ascii="Times New Roman" w:hAnsi="Times New Roman"/>
          <w:color w:val="000000"/>
          <w:sz w:val="2"/>
        </w:rPr>
        <w:t xml:space="preserve"> </w:t>
      </w:r>
    </w:p>
    <w:p>
      <w:pPr>
        <w:pStyle w:val="TextBody"/>
        <w:bidi w:val="0"/>
        <w:jc w:val="center"/>
        <w:rPr>
          <w:rFonts w:ascii="Times New Roman" w:hAnsi="Times New Roman"/>
          <w:sz w:val="20"/>
        </w:rPr>
      </w:pPr>
      <w:bookmarkStart w:id="7" w:name="consolidated_stmt_redeemabl_convertible"/>
      <w:bookmarkEnd w:id="7"/>
      <w:r>
        <w:rPr>
          <w:rFonts w:ascii="Times New Roman" w:hAnsi="Times New Roman"/>
          <w:b/>
          <w:color w:val="000000"/>
          <w:sz w:val="20"/>
        </w:rPr>
        <w:t>Condensed Consolidated Statements of Redeemable Convertible Preferred Stock and Stockholders’ Deficit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13"/>
        <w:gridCol w:w="146"/>
        <w:gridCol w:w="841"/>
        <w:gridCol w:w="146"/>
        <w:gridCol w:w="146"/>
        <w:gridCol w:w="181"/>
        <w:gridCol w:w="586"/>
        <w:gridCol w:w="146"/>
        <w:gridCol w:w="146"/>
        <w:gridCol w:w="146"/>
        <w:gridCol w:w="146"/>
        <w:gridCol w:w="691"/>
        <w:gridCol w:w="146"/>
        <w:gridCol w:w="146"/>
        <w:gridCol w:w="196"/>
        <w:gridCol w:w="375"/>
        <w:gridCol w:w="146"/>
        <w:gridCol w:w="146"/>
        <w:gridCol w:w="220"/>
        <w:gridCol w:w="531"/>
        <w:gridCol w:w="146"/>
        <w:gridCol w:w="146"/>
        <w:gridCol w:w="194"/>
        <w:gridCol w:w="677"/>
        <w:gridCol w:w="151"/>
        <w:gridCol w:w="146"/>
        <w:gridCol w:w="331"/>
        <w:gridCol w:w="690"/>
        <w:gridCol w:w="151"/>
        <w:gridCol w:w="146"/>
        <w:gridCol w:w="198"/>
        <w:gridCol w:w="692"/>
        <w:gridCol w:w="197"/>
      </w:tblGrid>
      <w:tr>
        <w:trPr/>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113" w:type="dxa"/>
            <w:tcBorders>
              <w:top w:val="single" w:sz="4" w:space="0" w:color="FFFFFF"/>
              <w:left w:val="single" w:sz="4" w:space="0" w:color="FFFFFF"/>
              <w:bottom w:val="single" w:sz="4" w:space="0" w:color="FFFFFF"/>
              <w:right w:val="single" w:sz="4" w:space="0" w:color="FFFFFF"/>
            </w:tcBorders>
            <w:shd w:fill="FFFFFF" w:val="clear"/>
            <w:vAlign w:val="center"/>
          </w:tcPr>
          <w:p>
            <w:pPr>
              <w:pStyle w:val="TableContents"/>
              <w:bidi w:val="0"/>
              <w:spacing w:before="0" w:after="283"/>
              <w:jc w:val="center"/>
              <w:rPr/>
            </w:pPr>
            <w:r>
              <w:rPr/>
              <w:t> </w:t>
            </w:r>
          </w:p>
        </w:tc>
        <w:tc>
          <w:tcPr>
            <w:tcW w:w="204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pPr>
            <w:r>
              <w:rPr/>
              <w:t> </w:t>
            </w:r>
          </w:p>
        </w:tc>
        <w:tc>
          <w:tcPr>
            <w:tcW w:w="751" w:type="dxa"/>
            <w:gridSpan w:val="2"/>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gridSpan w:val="2"/>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113" w:type="dxa"/>
            <w:tcBorders>
              <w:left w:val="single" w:sz="4" w:space="0" w:color="FFFFFF"/>
              <w:bottom w:val="single" w:sz="4" w:space="0" w:color="FFFFFF"/>
              <w:right w:val="single" w:sz="4" w:space="0" w:color="FFFFFF"/>
            </w:tcBorders>
            <w:shd w:fill="FFFFFF" w:val="clear"/>
            <w:tcMar>
              <w:top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FFFFFF"/>
              <w:right w:val="single" w:sz="4" w:space="0" w:color="FFFFFF"/>
            </w:tcBorders>
            <w:shd w:fill="FFFFFF" w:val="clear"/>
            <w:tcMar>
              <w:top w:w="0" w:type="dxa"/>
              <w:bottom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3"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199,902,270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4,507,108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(111,010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(107,436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13"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FFFFFF"/>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pPr>
            <w:r>
              <w:rPr/>
              <w:t> </w:t>
            </w:r>
          </w:p>
        </w:tc>
        <w:tc>
          <w:tcPr>
            <w:tcW w:w="375" w:type="dxa"/>
            <w:tcBorders>
              <w:top w:val="single" w:sz="4" w:space="0" w:color="FFFFFF"/>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pPr>
            <w:r>
              <w:rPr/>
              <w:t> </w:t>
            </w:r>
          </w:p>
        </w:tc>
        <w:tc>
          <w:tcPr>
            <w:tcW w:w="531" w:type="dxa"/>
            <w:tcBorders>
              <w:top w:val="single" w:sz="4" w:space="0" w:color="FFFFFF"/>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left"/>
              <w:rPr/>
            </w:pPr>
            <w:r>
              <w:rPr/>
              <w:t> </w:t>
            </w:r>
          </w:p>
        </w:tc>
        <w:tc>
          <w:tcPr>
            <w:tcW w:w="690" w:type="dxa"/>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left"/>
              <w:rPr/>
            </w:pPr>
            <w:r>
              <w:rPr/>
              <w:t> </w:t>
            </w:r>
          </w:p>
        </w:tc>
        <w:tc>
          <w:tcPr>
            <w:tcW w:w="692" w:type="dxa"/>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113"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w:t>
              <w:br/>
              <w:t>   stock options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13"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13"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marketable securities,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top w:val="single" w:sz="4" w:space="0" w:color="FFFFFF"/>
              <w:bottom w:val="single" w:sz="4" w:space="0" w:color="FFFFFF"/>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13"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(18,656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13"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199,902,270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4,511,041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(129,666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(125,515</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13"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13"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w:t>
              <w:br/>
              <w:t>   stock options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13"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13"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marketable securities,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top w:val="single" w:sz="4" w:space="0" w:color="FFFFFF"/>
              <w:bottom w:val="single" w:sz="4" w:space="0" w:color="FFFFFF"/>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13"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(20,687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13"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199,902,270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4,529,100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(150,353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(145,459</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09"/>
        <w:gridCol w:w="146"/>
        <w:gridCol w:w="841"/>
        <w:gridCol w:w="146"/>
        <w:gridCol w:w="146"/>
        <w:gridCol w:w="181"/>
        <w:gridCol w:w="586"/>
        <w:gridCol w:w="146"/>
        <w:gridCol w:w="146"/>
        <w:gridCol w:w="146"/>
        <w:gridCol w:w="146"/>
        <w:gridCol w:w="691"/>
        <w:gridCol w:w="146"/>
        <w:gridCol w:w="146"/>
        <w:gridCol w:w="196"/>
        <w:gridCol w:w="375"/>
        <w:gridCol w:w="146"/>
        <w:gridCol w:w="146"/>
        <w:gridCol w:w="220"/>
        <w:gridCol w:w="531"/>
        <w:gridCol w:w="151"/>
        <w:gridCol w:w="146"/>
        <w:gridCol w:w="213"/>
        <w:gridCol w:w="658"/>
        <w:gridCol w:w="151"/>
        <w:gridCol w:w="146"/>
        <w:gridCol w:w="350"/>
        <w:gridCol w:w="671"/>
        <w:gridCol w:w="151"/>
        <w:gridCol w:w="146"/>
        <w:gridCol w:w="217"/>
        <w:gridCol w:w="671"/>
        <w:gridCol w:w="198"/>
      </w:tblGrid>
      <w:tr>
        <w:trPr/>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109" w:type="dxa"/>
            <w:tcBorders>
              <w:top w:val="single" w:sz="4" w:space="0" w:color="FFFFFF"/>
              <w:left w:val="single" w:sz="4" w:space="0" w:color="FFFFFF"/>
              <w:bottom w:val="single" w:sz="4" w:space="0" w:color="FFFFFF"/>
              <w:right w:val="single" w:sz="4" w:space="0" w:color="FFFFFF"/>
            </w:tcBorders>
            <w:shd w:fill="FFFFFF" w:val="clear"/>
            <w:vAlign w:val="center"/>
          </w:tcPr>
          <w:p>
            <w:pPr>
              <w:pStyle w:val="TableContents"/>
              <w:bidi w:val="0"/>
              <w:spacing w:before="0" w:after="283"/>
              <w:jc w:val="center"/>
              <w:rPr/>
            </w:pPr>
            <w:r>
              <w:rPr/>
              <w:t> </w:t>
            </w:r>
          </w:p>
        </w:tc>
        <w:tc>
          <w:tcPr>
            <w:tcW w:w="204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pPr>
            <w:r>
              <w:rPr/>
              <w:t> </w:t>
            </w:r>
          </w:p>
        </w:tc>
        <w:tc>
          <w:tcPr>
            <w:tcW w:w="751" w:type="dxa"/>
            <w:gridSpan w:val="2"/>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top w:val="single" w:sz="4" w:space="0" w:color="FFFFFF"/>
              <w:bottom w:val="single" w:sz="4" w:space="0" w:color="FFFFFF"/>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109"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9"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96,265,908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4,425,956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(46,825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9"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B redeemable convertible</w:t>
              <w:br/>
              <w:t>   preferred stock and settlement of preferred</w:t>
              <w:br/>
              <w:t>   stock tranche liability of $6,808, net of issuance</w:t>
              <w:br/>
              <w:t>   costs of $35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38,181,818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9"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C redeemable convertible</w:t>
              <w:br/>
              <w:t>   preferred stock, net of issuance cost of $271</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65,454,544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9"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Series C redeemable convertible</w:t>
              <w:br/>
              <w:t>   preferred stock to its redemption value</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9"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9"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w:t>
              <w:br/>
              <w:t>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9"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marketable securities,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9"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(15,151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(15,151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9"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199,902,270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4,449,744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(61,764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9"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9"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w:t>
              <w:br/>
              <w:t>   stock options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9"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9"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marketable securities,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9"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(14,439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9"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199,902,270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4,485,996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(79,973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(75,527</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Attovia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densed_consolidated_stmt_cash_flows"/>
      <w:bookmarkEnd w:id="8"/>
      <w:r>
        <w:rPr>
          <w:rFonts w:ascii="Times New Roman" w:hAnsi="Times New Roman"/>
          <w:b/>
          <w:color w:val="000000"/>
          <w:sz w:val="20"/>
        </w:rPr>
        <w:t>Condensed Consolidated Statements of Cash Flows (unaudited)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7"/>
        <w:gridCol w:w="146"/>
        <w:gridCol w:w="211"/>
        <w:gridCol w:w="736"/>
        <w:gridCol w:w="166"/>
        <w:gridCol w:w="146"/>
        <w:gridCol w:w="211"/>
        <w:gridCol w:w="841"/>
        <w:gridCol w:w="811"/>
      </w:tblGrid>
      <w:tr>
        <w:trPr/>
        <w:tc>
          <w:tcPr>
            <w:tcW w:w="6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preferred stock tranche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(26,697</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(138,823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Series B redeemable convertible preferred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Series C redeemable convertible preferred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141,966</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FFFFFF"/>
            </w:tcBorders>
            <w:shd w:fill="CFF0FC" w:val="clear"/>
            <w:tcMar>
              <w:top w:w="0" w:type="dxa"/>
              <w:left w:w="0" w:type="dxa"/>
              <w:bottom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in accounts payable and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purchases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redeemable convertible preferred stock to its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 obtained in exchange for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 of preferred stock tranche liability upon issuance of Series B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Attovia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notes_to_financial_statements"/>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Organization and Nature of the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Attovia Therapeutics, Inc. (the “Company”) is a clinical-stage biopharmaceutical company headquartered in San Carlos, California and focused on research and development of therapeutic products in the fields of immune-mediated diseases. The Company was incorporated in the State of Delaware on December 16, 2022 and subsequently commenced principal operations in June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two wholly owned subsidiaries, Attovia Therapeutics Cayman Co., Ltd., an exempted company incorporated in the Cayman Islands with limited liability in July 2025, and Attovia Therapeutics (Shanghai) Co., Ltd., a limited liability company incorporated in the People’s Republic of China in October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4, 2026, the Company’s registration statement on Form S-1 (File No. 333-297452) relating to its initial public offering (the “IPO”) of common stock became effective. The IPO closed on August 6, 2026, at which time the Company issued 19,550,000 shares of its common stock at a price of $17.00 per share, which included the issuance of shares in connection with the exercise by the underwriters of their option to purchase up to 2,550,000 additional shares. The Company received an aggregate of $332.4 million in gross proceeds, before underwriting discounts and commissions and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closing of the IPO, all outstanding shares of the Company’s redeemable convertible preferred stock converted into 21,517,976 shares of common stock. In connection with the completion of the IPO, on August 6, 2026, the Company’s then-current restated certificate of incorporation, as amended, was amended and restated to provide for 500,000,000 authorized shares of common stock, par value of $0.0001 per share, and 10,000,000 authorized shares of preferred stock, par value of $0.0001 per share. The unaudited interim condensed consolidated financial statements as of June 30, 2026, including share and per share amounts, do not give effect to the IPO, as it closed subsequent to June 30, 2026.</w:t>
      </w:r>
    </w:p>
    <w:p>
      <w:pPr>
        <w:pStyle w:val="TextBody"/>
        <w:bidi w:val="0"/>
        <w:spacing w:before="36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significant net operating losses and negative cash flows from operations since inception and had an accumulated deficit of $150.4 million as of June 30, 2026. The Company has historically financed its operations primarily through the private placements of equity securities. On August 6, 2026, the Company completed the IPO and received approximately $305.4 million in net proceeds after deducting underwriting discounts and commissions and estimated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cash, cash equivalents and marketable securities of $115.1 million. The Company will continue to require substantial additional capital in the future to support further development of its product candidates and maintain its operations. Until such time as it can generate significant revenue from product sales, if ever, the Company expects to raise additional capital through equity or debt financings, collaborations, licensing arrangements or other sources. Management believes that the Company’s existing cash, cash equivalents and marketable securities, together with the net proceeds from the IPO, will be sufficient to fund the Company’s planned operations for at least 12 months from the date of the issuance of these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and related disclosures are unaudited and have been prepared in conformity with accounting principles generally accepted in the United States of America (“U.S. GAAP”) and applicable rules and regulations of the Securities and Exchange Commission (the “SEC”) regarding interim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unaudited condensed consolidated financial statements include the accounts of its subsidiaries, and all intercompany transactions were eliminated upon consolidation. Prior to July 2025, the Company had no subsidiaries.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22, 2026, the board of directors approved, and on July 29, 2026, the Company effected, a reverse stock split of the shares of the Company’s outstanding common stock at a ratio of 1-for-9.29 (the “Reverse Stock Split”).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automatically converted into shares of common stock upon the closing of the Company’s IPO of common stock, were proportionally adjusted. No fractional shares were issued in connection with the Reverse Stock Split. </w:t>
      </w:r>
    </w:p>
    <w:p>
      <w:pPr>
        <w:pStyle w:val="TextBody"/>
        <w:bidi w:val="0"/>
        <w:spacing w:before="360" w:after="283"/>
        <w:jc w:val="left"/>
        <w:rPr>
          <w:rFonts w:ascii="Times New Roman" w:hAnsi="Times New Roman"/>
          <w:sz w:val="20"/>
        </w:rPr>
      </w:pPr>
      <w:r>
        <w:rPr>
          <w:rFonts w:ascii="Times New Roman" w:hAnsi="Times New Roman"/>
          <w:b/>
          <w:i/>
          <w:color w:val="000000"/>
          <w:sz w:val="20"/>
        </w:rPr>
        <w:t>Unaudited Interim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balance sheet as of December 31, 2025 was derived from the Company’s audited consolidated financial statements but does not contain all of the footnote disclosures from the consolidated financial statements. The accompanying unaudited interim condensed consolidated financial statements as of June 30, 2026 and for the three and six months ended June 30, 2026 and 2025, have been prepared by the Company, pursuant to the rules and regulations of the SEC for interim financial statements. Certain information and footnote disclosures normally included in financial statements prepared in accordance with U.S. GAAP have been condensed or omitted pursuant to such rules and regulations. However, the Company believes that the disclosures are adequate to make the information presented not misleading. Accordingly, these unaudited interim condensed consolidated financial statements should be read in conjunction with the audited consolidated financial statements as of and for the year ended December 31, 2025 and notes thereto, included in the Company’s final prospectus for the IPO filed with the SEC pursuant to Rule 424(b)(4) on August 5, 2026. In the opinion of management, all adjustments, consisting only of normal recurring adjustments necessary for a fair statement of the Company’s condensed consolidated financial position as of June 30, 2026 and condensed consolidated results of operations, condensed consolidated statements of redeemable convertible preferred stock and stockholders’ deficit for the three and six months ended June 30, 2026 and 2025 and condensed consolidated cash flows for the six months ended June 30, 2026 and 2025 have been made. The results of operations for the three and six months ended June 30, 2026 are not necessarily indicative of the results of operations that may be expected for the year ending December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the policies noted below, there have been no changes from the significant accounting policies and estimates disclosed in Note 2 to the Company’s audited consolidated financial statements for the year ended December 31, 2025 included in the Company’s final prospectus filed with the SEC pursuant to Rule 424(b)(4) on August 5, 2026.</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as well as the reported amounts of revenues and expenses during the reporting period. Such estimates include the fair value of marketable securities, the fair values of preferred stock tranche liabilities, the fair value of common stock, valuation of deferred tax assets, incremental borrowing rate for leases, accruals for research and development activities and stock-based compensation.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pStyle w:val="TextBody"/>
        <w:bidi w:val="0"/>
        <w:spacing w:before="360" w:after="283"/>
        <w:jc w:val="left"/>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regularly utilized by the Chief Operating Decision Maker (“CODM”) to assess the Company’s performance for capital and resource allocation decisions. The Company’s CODM is its Chief Executive Officer, who reviews such financial information on an aggregate company-level basis (see Note 14). The Company has determined it operates as a single operating segment and has one reportable segment, which is the research and development of therapeutic products in the fields of immune-mediated diseases. Revenue is generated exclusively from transactions with a party located in the United States of America. All long-lived assets are maintained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Credit Risk and of Significant Suppliers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which potentially subject the Company to concentration of credit risk consist primarily of cash and cash equivalents, marketable securities and restricted cash. The Company is exposed to credit risk from its deposits of cash and cash equivalents in excess of amounts insured by the Federal Deposit Insurance Corporation (“FDIC”). The Company has not experienced any losses on its deposits of cash and cash equivalents during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invests in money market funds, U.S. Treasury bills and notes, and other short-term fixed income securities which can be subject to certain credit risks. The Company mitigates these risks by investing in high-grade instruments, limiting its exposure to any one issuer and monitoring the ongoing creditworthiness of the financial institutions and issuers. The Company has not experienced any losses on its financial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dependent on third-party manufacturers to supply materials for research and development activities for the Company’s pipeline products, including preclinical and clinical studies and testing, and manufacturing activities. In particular, the Company relies on a small number of manufacturers for the supply of drug substance and drug product materials for its clinical assets. The Company’s preclinical and clinical studies and testing and manufacturing activities could be adversely affected by a significant interruption in the supply of materials from its suppliers. </w:t>
      </w:r>
    </w:p>
    <w:p>
      <w:pPr>
        <w:pStyle w:val="TextBody"/>
        <w:bidi w:val="0"/>
        <w:spacing w:before="36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capital, adequate personnel, infrastructure and extensive compliance and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product candidates are still in either preclinical or clinical development and, to date, none of the Company’s product candidates have been approved for sale and, therefore, the Company has not generated any revenue from product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change in technology and substantial competition from other pharmaceutical and biotechnology companies. In addition, the Company is dependent upon the services of its employees, consultants and other third parties.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offering costs, consisting of legal, accounting and other third-party fees directly relating to in-process equity financings or offerings are capitalized. The deferred offering costs will be offset against offering proceeds upon the completion of the financing or the offering. As of June 30, 2026 and December 31, 2025, deferred offering costs of $2.5 million and $1.2 million, respectively, were capitalized and recorded as non-current assets on the condensed consolidated balance sheets. Upon closing the IPO in August 2026, all deferred offering costs were charged against the proceeds from the IPO and recorded in stockholders’ deficit as a reduction of additional paid-in capital.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of common stock is calculated by dividing the net loss attributable to common stockholders by the weighted-average number of shares of common stock outstanding during the period, without consideration of potentially dilutive securities. Net loss attributable to common stockholders is computed as net loss less accretion of redeemable convertible preferred stock. Diluted net loss per share is computed by dividing the net loss attributable to common stockholders by the weighted-average number of shares of common stock and potentially dilutive securities outstanding for the period. For purposes of the diluted net loss per share calculation, redeemable convertible preferred stock, unvested restricted stock awards and stock options are considered to be potentially dilutive securities. Basic and diluted net loss per share attributable to common stockholders is presented in conformity with the two-class method required for participating securities as the redeemable convertible preferred stock and unvested restricted stock awards are considered participating securities. The redeemable convertible preferred stock does not have a contractual obligation to share in the Company’s losses, and unvested restricted stock awards are considered contingently issuable shares for accounting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purposes. Because the Company has reported a net loss for the periods presented, the diluted net loss per share of common stock is the same as basic net loss per common share for the periods presented.</w:t>
      </w:r>
    </w:p>
    <w:p>
      <w:pPr>
        <w:pStyle w:val="TextBody"/>
        <w:bidi w:val="0"/>
        <w:spacing w:before="36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(the “FASB”) under its Accounting Standards Codification (“ASC”) or other standard setting bodies and adopted by the Company as of the specified effective date, unless otherwise discussed below. The Company qualifies as an “emerging growth company” as defined in the Jumpstart Our Business Startups Act of 2012, as amended (the “JOBS Act”) and adopts new or revised accounting standards on the dates applicable to nonpublic entities unless it adopts such standards early.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 (Topic 220)</w:t>
      </w:r>
      <w:r>
        <w:rPr>
          <w:rFonts w:ascii="Times New Roman" w:hAnsi="Times New Roman"/>
          <w:color w:val="000000"/>
          <w:sz w:val="20"/>
        </w:rPr>
        <w:t xml:space="preserve">, requiring that public business entities disclose additional information about specific expense categories in the notes to financial statements at interim and annual reporting periods. The amendments are effective for annual reporting periods beginning after December 15, 2026, and interim reporting periods within annual periods beginning after December 15, 2027. The requirements of ASU 2024-03 may be applied either prospectively to financial statements issued for reporting periods after the effective date or retrospectively to any or all prior periods presented in the financial statements. The Company is currently evaluating the impact of adopting ASU 2024-03 on its condensed consolidated financial statements and disclosures.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the fair value of financial and non-financial assets and liabilities using the fair value hierarchy which establishes three levels of inputs that may be used to measure fair value, as follows: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1 — Observable inputs, such as quoted prices in active markets for identical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determining fair value, the Company utilizes valuation techniques that maximize the use of observable inputs and minimize the use of unobservable inputs to the extent possible as well as considers counterparty credit risk in its assessment of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transfers into and out of levels within the fair value hierarchy in the period in which the actual event or change in circumstances that caused the transfer occurs.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assets and liabilities are considered Level 3 when their fair values are determined using pricing models, discounted cash flow methodologies, or similar techniques, and at least one significant model assumption or input is unobservable.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fair value of the Company’s financial assets and liabilities measured on a recurring basis by level within the fair value hierarchy (in thousands): </w:t>
      </w:r>
    </w:p>
    <w:p>
      <w:pPr>
        <w:pStyle w:val="TextBody"/>
        <w:bidi w:val="0"/>
        <w:jc w:val="left"/>
        <w:rPr/>
      </w:pPr>
      <w:r>
        <w:rPr/>
        <w:t> </w:t>
      </w:r>
    </w:p>
    <w:tbl>
      <w:tblPr>
        <w:tblW w:w="7123" w:type="dxa"/>
        <w:jc w:val="left"/>
        <w:tblInd w:w="0" w:type="dxa"/>
        <w:tblLayout w:type="fixed"/>
        <w:tblCellMar>
          <w:top w:w="28" w:type="dxa"/>
          <w:left w:w="28" w:type="dxa"/>
          <w:bottom w:w="28" w:type="dxa"/>
          <w:right w:w="28" w:type="dxa"/>
        </w:tblCellMar>
      </w:tblPr>
      <w:tblGrid>
        <w:gridCol w:w="2266"/>
        <w:gridCol w:w="146"/>
        <w:gridCol w:w="211"/>
        <w:gridCol w:w="781"/>
        <w:gridCol w:w="146"/>
        <w:gridCol w:w="146"/>
        <w:gridCol w:w="239"/>
        <w:gridCol w:w="391"/>
        <w:gridCol w:w="146"/>
        <w:gridCol w:w="146"/>
        <w:gridCol w:w="239"/>
        <w:gridCol w:w="391"/>
        <w:gridCol w:w="146"/>
        <w:gridCol w:w="146"/>
        <w:gridCol w:w="211"/>
        <w:gridCol w:w="781"/>
        <w:gridCol w:w="5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80" w:type="dxa"/>
        <w:jc w:val="left"/>
        <w:tblInd w:w="0" w:type="dxa"/>
        <w:tblLayout w:type="fixed"/>
        <w:tblCellMar>
          <w:top w:w="28" w:type="dxa"/>
          <w:left w:w="28" w:type="dxa"/>
          <w:bottom w:w="28" w:type="dxa"/>
          <w:right w:w="28" w:type="dxa"/>
        </w:tblCellMar>
      </w:tblPr>
      <w:tblGrid>
        <w:gridCol w:w="2266"/>
        <w:gridCol w:w="146"/>
        <w:gridCol w:w="211"/>
        <w:gridCol w:w="781"/>
        <w:gridCol w:w="146"/>
        <w:gridCol w:w="146"/>
        <w:gridCol w:w="211"/>
        <w:gridCol w:w="676"/>
        <w:gridCol w:w="146"/>
        <w:gridCol w:w="146"/>
        <w:gridCol w:w="239"/>
        <w:gridCol w:w="391"/>
        <w:gridCol w:w="146"/>
        <w:gridCol w:w="146"/>
        <w:gridCol w:w="211"/>
        <w:gridCol w:w="781"/>
        <w:gridCol w:w="5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presents a summary of the changes in the fair value of the Company’s Level 3 financial instruments that are measured at fair value on a recurring basis (in thousands): </w:t>
      </w:r>
    </w:p>
    <w:p>
      <w:pPr>
        <w:pStyle w:val="TextBody"/>
        <w:bidi w:val="0"/>
        <w:jc w:val="left"/>
        <w:rPr/>
      </w:pPr>
      <w:r>
        <w:rPr/>
        <w:t> </w:t>
      </w:r>
    </w:p>
    <w:tbl>
      <w:tblPr>
        <w:tblW w:w="5953" w:type="dxa"/>
        <w:jc w:val="left"/>
        <w:tblInd w:w="0" w:type="dxa"/>
        <w:tblLayout w:type="fixed"/>
        <w:tblCellMar>
          <w:top w:w="28" w:type="dxa"/>
          <w:left w:w="28" w:type="dxa"/>
          <w:bottom w:w="28" w:type="dxa"/>
          <w:right w:w="28" w:type="dxa"/>
        </w:tblCellMar>
      </w:tblPr>
      <w:tblGrid>
        <w:gridCol w:w="4231"/>
        <w:gridCol w:w="146"/>
        <w:gridCol w:w="342"/>
        <w:gridCol w:w="1023"/>
        <w:gridCol w:w="2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br/>
              <w:t>Tranche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Fair value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the fair value of Series B preferred stock</w:t>
              <w:br/>
              <w:t>   tranche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upon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Fair value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fair value of the preferred stock tranche liability is based on significant unobservable inputs, which represent Level 3 measurements within the fair value hierarchy (see Note 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transfers in and out of Level 3 during the three and six months ended June 30, 2026 and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sz w:val="20"/>
        </w:rPr>
      </w:pPr>
      <w:r>
        <w:rPr>
          <w:rFonts w:ascii="Times New Roman" w:hAnsi="Times New Roman"/>
          <w:b/>
          <w:i/>
          <w:color w:val="000000"/>
          <w:sz w:val="20"/>
        </w:rPr>
        <w:t>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Marketable securities, which are classified as available-for-sale, consisted of the following as of June 30, 2026 and December 31, 2025 (in thousands): </w:t>
      </w:r>
    </w:p>
    <w:p>
      <w:pPr>
        <w:pStyle w:val="TextBody"/>
        <w:bidi w:val="0"/>
        <w:jc w:val="left"/>
        <w:rPr/>
      </w:pPr>
      <w:r>
        <w:rPr/>
        <w:t> </w:t>
      </w:r>
    </w:p>
    <w:tbl>
      <w:tblPr>
        <w:tblW w:w="8310" w:type="dxa"/>
        <w:jc w:val="left"/>
        <w:tblInd w:w="0" w:type="dxa"/>
        <w:tblLayout w:type="fixed"/>
        <w:tblCellMar>
          <w:top w:w="28" w:type="dxa"/>
          <w:left w:w="28" w:type="dxa"/>
          <w:bottom w:w="28" w:type="dxa"/>
          <w:right w:w="28" w:type="dxa"/>
        </w:tblCellMar>
      </w:tblPr>
      <w:tblGrid>
        <w:gridCol w:w="3431"/>
        <w:gridCol w:w="146"/>
        <w:gridCol w:w="211"/>
        <w:gridCol w:w="676"/>
        <w:gridCol w:w="146"/>
        <w:gridCol w:w="146"/>
        <w:gridCol w:w="335"/>
        <w:gridCol w:w="551"/>
        <w:gridCol w:w="146"/>
        <w:gridCol w:w="146"/>
        <w:gridCol w:w="318"/>
        <w:gridCol w:w="568"/>
        <w:gridCol w:w="166"/>
        <w:gridCol w:w="146"/>
        <w:gridCol w:w="211"/>
        <w:gridCol w:w="676"/>
        <w:gridCol w:w="291"/>
      </w:tblGrid>
      <w:tr>
        <w:trPr/>
        <w:tc>
          <w:tcPr>
            <w:tcW w:w="3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pPr>
      <w:r>
        <w:rPr/>
        <w:t> </w:t>
      </w:r>
    </w:p>
    <w:tbl>
      <w:tblPr>
        <w:tblW w:w="8520" w:type="dxa"/>
        <w:jc w:val="left"/>
        <w:tblInd w:w="0" w:type="dxa"/>
        <w:tblLayout w:type="fixed"/>
        <w:tblCellMar>
          <w:top w:w="28" w:type="dxa"/>
          <w:left w:w="28" w:type="dxa"/>
          <w:bottom w:w="28" w:type="dxa"/>
          <w:right w:w="28" w:type="dxa"/>
        </w:tblCellMar>
      </w:tblPr>
      <w:tblGrid>
        <w:gridCol w:w="3431"/>
        <w:gridCol w:w="146"/>
        <w:gridCol w:w="211"/>
        <w:gridCol w:w="781"/>
        <w:gridCol w:w="146"/>
        <w:gridCol w:w="146"/>
        <w:gridCol w:w="295"/>
        <w:gridCol w:w="591"/>
        <w:gridCol w:w="146"/>
        <w:gridCol w:w="146"/>
        <w:gridCol w:w="335"/>
        <w:gridCol w:w="551"/>
        <w:gridCol w:w="166"/>
        <w:gridCol w:w="146"/>
        <w:gridCol w:w="211"/>
        <w:gridCol w:w="781"/>
        <w:gridCol w:w="291"/>
      </w:tblGrid>
      <w:tr>
        <w:trPr/>
        <w:tc>
          <w:tcPr>
            <w:tcW w:w="3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All marketable securities held as of June 30, 2026 and December 31, 2025 had contractual maturities of less than one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no significant facts or circumstances were present to indicate a deterioration in the creditworthiness of the issuers of the marketable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their amortized cost basis, the Company determined the decline in fair value below amortized cost basis to be immaterial and non-credit related, and therefore no allowance for losses has been recorded. For the three and six months ended June 30, 2026 and 2025, the Company did not recognize any impairment losses on its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accrued interest receivable was $0.9 million and $0.9 million, respectively, which were recorded in the prepaid expenses and other current assets on the condensed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consists of the following (in thousands, except years):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5"/>
        <w:gridCol w:w="146"/>
        <w:gridCol w:w="4444"/>
        <w:gridCol w:w="146"/>
        <w:gridCol w:w="265"/>
        <w:gridCol w:w="794"/>
        <w:gridCol w:w="166"/>
        <w:gridCol w:w="146"/>
        <w:gridCol w:w="338"/>
        <w:gridCol w:w="1010"/>
        <w:gridCol w:w="215"/>
      </w:tblGrid>
      <w:tr>
        <w:trPr/>
        <w:tc>
          <w:tcPr>
            <w:tcW w:w="2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estimated useful lives of 15 years or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and amortization expense for the three months ended June 30, 2026 and 2025 was $0.2 million and $0.2 million, respectively. Depreciation and amortization expense for the six months ended June 30, 2026 and 2025 was $0.5 million and $0.4 million,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7515" w:type="dxa"/>
        <w:jc w:val="left"/>
        <w:tblInd w:w="0" w:type="dxa"/>
        <w:tblLayout w:type="fixed"/>
        <w:tblCellMar>
          <w:top w:w="28" w:type="dxa"/>
          <w:left w:w="28" w:type="dxa"/>
          <w:bottom w:w="28" w:type="dxa"/>
          <w:right w:w="28" w:type="dxa"/>
        </w:tblCellMar>
      </w:tblPr>
      <w:tblGrid>
        <w:gridCol w:w="4261"/>
        <w:gridCol w:w="146"/>
        <w:gridCol w:w="303"/>
        <w:gridCol w:w="822"/>
        <w:gridCol w:w="146"/>
        <w:gridCol w:w="146"/>
        <w:gridCol w:w="403"/>
        <w:gridCol w:w="1097"/>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 and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License Agreements </w:t>
      </w:r>
    </w:p>
    <w:p>
      <w:pPr>
        <w:pStyle w:val="TextBody"/>
        <w:bidi w:val="0"/>
        <w:spacing w:before="120" w:after="283"/>
        <w:jc w:val="left"/>
        <w:rPr>
          <w:rFonts w:ascii="Times New Roman" w:hAnsi="Times New Roman"/>
          <w:sz w:val="20"/>
        </w:rPr>
      </w:pPr>
      <w:r>
        <w:rPr>
          <w:rFonts w:ascii="Times New Roman" w:hAnsi="Times New Roman"/>
          <w:b/>
          <w:i/>
          <w:color w:val="000000"/>
          <w:sz w:val="20"/>
        </w:rPr>
        <w:t>Alamar Platform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 2023, the Company and Alamar Biosciences, Inc. (“Alamar”) entered into a Platform License Agreement, which was subsequently amended and restated (as amended and restated, the “Alamar Platform License Agreement”). Under the Alamar Platform License Agreement, Alamar granted the Company a worldwide, non-transferable, sublicensable license to use the antibody engineering platform developed by or on behalf of Alamar (the “ATTOBODY Platform”) within the therapeutic field. The license is exclusive with respect to Alamar patents and patent applications and non-exclusive with respect to Alamar know-how.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Alamar Platform License Agreement, the Company issued 2,428,646 shares of its common stock to Alamar as consideration for the license. Alamar is further entitled to development and regulatory milestone payments of up to $0.8 million and $3.5 million, respectively, or up to $4.3 million in the aggregate per product, on a product-by-product basis, as well as royalties on net sales of the covered products in the low-single-digit percentage range. Milestone payments are contingent consideration and are accrued when it becomes probable that the underlying milestone will be achieved. No milestone expense was recorded during the three and six months ended June 30, 2026 and 2025. The remaining milestones were considered not probable to be achieved as of June 30, 2026 and December 31, 2025. Royalties will be recognized as cost of sales when the covered products are sold and royalties are payable. </w:t>
      </w:r>
    </w:p>
    <w:p>
      <w:pPr>
        <w:pStyle w:val="TextBody"/>
        <w:bidi w:val="0"/>
        <w:spacing w:before="360" w:after="283"/>
        <w:jc w:val="left"/>
        <w:rPr>
          <w:rFonts w:ascii="Times New Roman" w:hAnsi="Times New Roman"/>
          <w:sz w:val="20"/>
        </w:rPr>
      </w:pPr>
      <w:r>
        <w:rPr>
          <w:rFonts w:ascii="Times New Roman" w:hAnsi="Times New Roman"/>
          <w:b/>
          <w:i/>
          <w:color w:val="000000"/>
          <w:sz w:val="20"/>
        </w:rPr>
        <w:t>EndPath License Agreement and Equity Distribution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the Company entered into a license agreement with EndPath RadioTherapeutics, Inc. (formerly Isotovia Biosciences, Inc.) (“EndPath”) pursuant to which the Company granted EndPath an exclusive, worldwide license to certain of the Company’s ATTOBODY Platform technology for use in the development and commercialization of radioligand products (the “EndPath Agreement”). Under the EndPath Agreement, the Company is responsible for using its ATTOBODY Platform technology to generate and develop initial Attobodies directed to two initial targets.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consideration for the license and related research and development obligations, the Company received 24,000,000 shares of EndPath common stock, of which 6,000,000 shares are subject to repurchase if specified conditions are not met, including the first accepted investigational new drug filing for a lead product, or certain termination events. The Company is also eligible to receive additional consideration under the EndPath Agreement of up to $14.5 million in development and regulatory milestone payments, up to $170.0 million in sales milestone payments, and low single-digit royalties on worldwide annual net sales of licensed products.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EndPath arrangement represents a contract with a customer within the scope of ASC 606, </w:t>
      </w:r>
      <w:r>
        <w:rPr>
          <w:rFonts w:ascii="Times New Roman" w:hAnsi="Times New Roman"/>
          <w:i/>
          <w:color w:val="000000"/>
          <w:sz w:val="20"/>
        </w:rPr>
        <w:t>Revenue from Contracts with Customers</w:t>
      </w:r>
      <w:r>
        <w:rPr>
          <w:rFonts w:ascii="Times New Roman" w:hAnsi="Times New Roman"/>
          <w:color w:val="000000"/>
          <w:sz w:val="20"/>
        </w:rPr>
        <w:t xml:space="preserve">. The Company identified separate performance obligations for each of the two initial target programs, each consisting of the applicable license rights and related research and development services, together with related supporting activities.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June 30, 2026 and December 31, 2025, the Company recorded the fair value of 6,000,000 shares subject to repurchase as an asset with a corresponding customer deposit liability of $0.6 million, which was included in other non-current liabilities on the Company’s condensed consolidated balance sheets. The customer deposit liability remains outstanding until the repurchase option lapses, is exercised or is otherwise resolved. Upon receipt of the EndPath common stock, the Company concluded that its ownership interest met the criteria for equity method accounting. The Company elected the fair value option under ASC 825, </w:t>
      </w:r>
      <w:r>
        <w:rPr>
          <w:rFonts w:ascii="Times New Roman" w:hAnsi="Times New Roman"/>
          <w:i/>
          <w:color w:val="000000"/>
          <w:sz w:val="20"/>
        </w:rPr>
        <w:t>Financial Instruments</w:t>
      </w:r>
      <w:r>
        <w:rPr>
          <w:rFonts w:ascii="Times New Roman" w:hAnsi="Times New Roman"/>
          <w:color w:val="000000"/>
          <w:sz w:val="20"/>
        </w:rPr>
        <w:t>, and measured the EndPath common stock at fair value using an option pricing model based on EndPath’s Series A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revenue using a cost-based input method over the estimated research term. The Company recognized $0.5 million and $0 of collaboration revenue under the EndPath Agreement during the three months ended June 30, 2026 and 2025, respectively. The Company recognized $0.5 million and $0 of collaboration revenue under the EndPath Agreement during the six months ended June 30, 2026 and 2025, respectively. As of June 30, 2026 and December 31, 2025, the contract liability related to the EndPath Agreement was $0 and $0.5 million, respectively, which was included in accrued expenses and other current liabilities on the Company’s condensed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EndPath common stock was recorded upon receipt at fair value as an equity investment. In September 2025, the Company distributed 24,000,000 shares of EndPath common stock received as noncash consideration under the EndPath Agreement, with an aggregate carrying value of $2.4 million, to holders of the Company’s outstanding capital stock. Following the distribution, the Company no longer held any EndPath common stock. The distribution was accounted for as an in-kind dividend and reduced the Company’s equity investment in EndPath to zero. There was no gain or loss recognized as a result of the distribution, as there was no change in the fair value of the investment in EndPath during the short holding period between the initial valuation date and the distribution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18, 2026, the Company entered into an amendment with EndPath related to the targets being developed. The amendment had no material impact on the condensed consolidated financial statements.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its office, laboratory and storage spaces in San Carlos, California under a non-cancelable operating lease expiring on June 30, 2028.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the future minimum lease commitments under the operating lease were as follows (in thousands): </w:t>
      </w:r>
    </w:p>
    <w:p>
      <w:pPr>
        <w:pStyle w:val="TextBody"/>
        <w:bidi w:val="0"/>
        <w:jc w:val="left"/>
        <w:rPr/>
      </w:pPr>
      <w:r>
        <w:rPr/>
        <w:t> </w:t>
      </w:r>
    </w:p>
    <w:tbl>
      <w:tblPr>
        <w:tblW w:w="4785" w:type="dxa"/>
        <w:jc w:val="left"/>
        <w:tblInd w:w="0" w:type="dxa"/>
        <w:tblLayout w:type="fixed"/>
        <w:tblCellMar>
          <w:top w:w="28" w:type="dxa"/>
          <w:left w:w="28" w:type="dxa"/>
          <w:bottom w:w="28" w:type="dxa"/>
          <w:right w:w="28" w:type="dxa"/>
        </w:tblCellMar>
      </w:tblPr>
      <w:tblGrid>
        <w:gridCol w:w="3646"/>
        <w:gridCol w:w="146"/>
        <w:gridCol w:w="211"/>
        <w:gridCol w:w="571"/>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Present value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the Company’s financial position, results of operations or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Delaware corporate law. The Company currently has directors’ and officers’ liability insurance.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Redeemable Convertible Preferred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redeemable convertible preferred stock consisted of the following (in thousands, except share and price data): </w:t>
      </w:r>
    </w:p>
    <w:p>
      <w:pPr>
        <w:pStyle w:val="TextBody"/>
        <w:bidi w:val="0"/>
        <w:jc w:val="left"/>
        <w:rPr/>
      </w:pPr>
      <w:r>
        <w:rPr/>
        <w:t> </w:t>
      </w:r>
    </w:p>
    <w:tbl>
      <w:tblPr>
        <w:tblW w:w="8225" w:type="dxa"/>
        <w:jc w:val="left"/>
        <w:tblInd w:w="0" w:type="dxa"/>
        <w:tblLayout w:type="fixed"/>
        <w:tblCellMar>
          <w:top w:w="28" w:type="dxa"/>
          <w:left w:w="28" w:type="dxa"/>
          <w:bottom w:w="28" w:type="dxa"/>
          <w:right w:w="28" w:type="dxa"/>
        </w:tblCellMar>
      </w:tblPr>
      <w:tblGrid>
        <w:gridCol w:w="946"/>
        <w:gridCol w:w="146"/>
        <w:gridCol w:w="146"/>
        <w:gridCol w:w="1141"/>
        <w:gridCol w:w="146"/>
        <w:gridCol w:w="146"/>
        <w:gridCol w:w="270"/>
        <w:gridCol w:w="600"/>
        <w:gridCol w:w="146"/>
        <w:gridCol w:w="146"/>
        <w:gridCol w:w="156"/>
        <w:gridCol w:w="1224"/>
        <w:gridCol w:w="146"/>
        <w:gridCol w:w="146"/>
        <w:gridCol w:w="265"/>
        <w:gridCol w:w="980"/>
        <w:gridCol w:w="1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 and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27,659,090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27,659,090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76,363,636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76,363,636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65,454,544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65,454,544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199,902,270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199,902,270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the Company entered into the Series B redeemable convertible preferred stock purchase agreement (the “Series B Purchase Agreement”) with certain investors and issued 38,181,818 shares of Series B redeemable convertible preferred stock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$1.375 per share for total gross proceeds of $52.5 million. The Series B Purchase Agreement also provided for the issuance and sale to the same investors of an additional 38,181,818 shares of Series B redeemable convertible preferred stock (“Series B Second Tranche Shares”) on the same terms as the shares issued at the initial closing, upon achieving the first dosing milestone or if the achievement of such milestone conditions is waived in writing by the holders of at least 66% of the then-outstanding shares of Series B redeemable convertible preferred stock (the “Series B Requisite Holders”) and the Board of Directors of the Company, including a majority of the then seated Preferred Directors (the “Series B Milestone Closing”) on or before June 30, 2026, or, at the option of the investors, at any time before that date. The Series B redeemable convertible preferred stock was recorded at its fair value of $47.5 million, less issuance costs of $0.3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upon the achievement of the Series B milestone, the remaining 38,181,818 shares of the Series B redeemable convertible preferred stock were issued at a price of $1.375 per share, which resulted in gross cash proceeds of $52.5 million. As a result of this issuance, the Series B preferred stock tranche liability of $6.8 million was settled and the Series B redeemable convertible preferred stock was recorded at its fair value of $59.3 million, less issuance costs of less than $0.1 million (see Note 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the Company issued 65,454,544 shares of its Series C redeemable convertible preferred stock at a purchase price of $1.375 per share for total gross proceeds of $90.0 million. The Series C redeemable convertible preferred stock was recorded at fair value based on proceeds received, less issuance costs of $0.3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6, 2026, upon the closing of the Company’s IPO, all outstanding redeemable convertible preferred stock automatically converted into 21,517,976 shares of common stock. Prior to the closing of the Company’s IPO, the holders of redeemable convertible preferred stock had the following rights and preferences: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Liquidation Preference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any liquidation, dissolution or winding up of the Company, either voluntary or involuntary or a deemed liquidation event, including a merger, acquisition or sale of all or substantially all of the Company’s assets, (each a “Liquidation Event”), the holders of Series C and Series B redeemable convertible preferred stock were entitled to receive on a pari passu basis, prior and in preference to any distribution of any of the assets of the Company to the holders of Series A-1 redeemable convertible preferred stock, Series A-2 redeemable convertible preferred stock and common stock, an amount per share equal to the original issue price, plus any dividends declared but unpaid thereon.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full payment to holders of the Series C and Series B redeemable convertible preferred stock, the holders of Series A-1 and A-2 redeemable convertible preferred stock were entitled to receive on a pari passu basis, prior and in preference to any distribution of any of the assets of the Company to the holders of common stock, an amount per share equal to the applicable original issue price, plus any dividends declared but unpaid thereon.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assets and funds were insufficient to permit the payment to holders of the redeemable convertible preferred stock of the full preferential amounts, then the entire assets and funds legally available for distribution to stockholders would be distributed ratably among the holders of the respective series of redeemable convertible preferred stock in proportion to the respective amounts which would otherwise be payable in respect of the shares held by them upon such distribution if all amounts payable on or with respect to such shares were paid in full.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completion of the distributions of the full amounts required above, all of the remaining assets of the Company available for distribution would be distributed among the holders of redeemable convertible preferred stock and common stock pro rata on an as-converted basis, provided, however, that if the aggregate amount the holders of redeemable convertible preferred stock were entitled to receive exceeded two and one-half times the applicable original issue price per share of the redeemable convertible preferred stock, as adjusted, plus any dividends declared but unpaid thereon (the “Participation Cap”), each holder of the redeemable convertible preferred stock would only be entitled to receive the greater of (a) the Participation Cap and (b) the amount such holder would have received if all shares of such series of redeemable convertible preferred stock had been converted into common stock immediately prior to such Liquidation Event. </w:t>
      </w:r>
    </w:p>
    <w:p>
      <w:pPr>
        <w:pStyle w:val="TextBody"/>
        <w:bidi w:val="0"/>
        <w:spacing w:before="360" w:after="283"/>
        <w:jc w:val="left"/>
        <w:rPr>
          <w:rFonts w:ascii="Times New Roman" w:hAnsi="Times New Roman"/>
          <w:sz w:val="20"/>
        </w:rPr>
      </w:pPr>
      <w:r>
        <w:rPr>
          <w:rFonts w:ascii="Times New Roman" w:hAnsi="Times New Roman"/>
          <w:b/>
          <w:i/>
          <w:color w:val="000000"/>
          <w:sz w:val="20"/>
        </w:rPr>
        <w:t>Conversion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share of redeemable convertible preferred stock was convertible, at the option of the holder thereof, at any time, into such number of fully paid and nonassessable shares of common stock as was determined by dividing the applicable original issue price by the conversion price of $9.29 for shares of Series A-1 redeemable convertible preferred stock, $10.22 for Series A-2 redeemable convertible preferred stock and $12.77 for shares of Series B and Series C redeemable convertible preferred stock, as adjusted for any stock splits, stock dividends, combinations, recapitalizations or the like, as well as any down-round anti-dilution adjustments.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share of redeemable convertible preferred stock would automatically be converted into shares of common stock at the then-effective conversion rate either (a) upon the closing of the sale of shares of common stock to the public in a firm-commitment underwritten public offering pursuant to an effective registration statement under the Securities Act of 1933, as amended, that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either (i) approved by the holders of at least 66% of the outstanding shares of redeemable convertible preferred stock, voting together as a single class on an as-converted basis (“Requisite Holders”), including the Series B Requisite Holders and Series C Requisite Holders, or (ii) at a price of at least $15.33 per share, resulting in at least $100.0 million of gross proceeds to the Company and in connection with such offering the Company’s common stock was listed for trading on the Nasdaq Stock Market’s National Market, the New York Stock Exchange or such other international exchange of equal stature, or (b) by vote or written consent of the Requisite 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the outstanding shares of Series C and Series B redeemable convertible preferred stock were entitled to receive, only when, as and if declared by the Company’s board of directors, out of any funds and assets legally available therefor, non-cumulative dividends at the rate of 8% of the original issue price for each share of Series C and Series B redeemable convertible preferred stock, prior and in preference to any dividends paid to the holders of Series A-1 redeemable convertible preferred stock, Series A-2 redeemable convertible preferred stock and common stock (other than dividends on shares of common stock payable in shares of common stock). The holders of the outstanding shares of Series A-2 and Series A-1 redeemable convertible preferred stock were entitled to receive, only when, as and if declared by the Company’s board of directors, out of any funds and assets legally available therefor, non-cumulative dividends at the rate of 8% of the original issue price for each share of Series A-1 and Series A-2 redeemable convertible preferred stock, prior and in preference to any dividends paid to the holders of common stock (other than dividends on shares of common stock payable in shares of common stock). After payment of the full amount of any dividends described above, any additional dividends would be distributed among all holders of common stock and the redeemable convertible preferred stock on an as-converted basis. Whenever a dividend was payable in property other than cash, the value of such dividend was deemed to be the fair market value of such property as determined in good faith by the Company’s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dividends were declared as of June 30, 2026 and December 31, 2025. </w:t>
      </w:r>
    </w:p>
    <w:p>
      <w:pPr>
        <w:pStyle w:val="TextBody"/>
        <w:bidi w:val="0"/>
        <w:spacing w:before="360" w:after="283"/>
        <w:jc w:val="left"/>
        <w:rPr>
          <w:rFonts w:ascii="Times New Roman" w:hAnsi="Times New Roman"/>
          <w:sz w:val="20"/>
        </w:rPr>
      </w:pPr>
      <w:r>
        <w:rPr>
          <w:rFonts w:ascii="Times New Roman" w:hAnsi="Times New Roman"/>
          <w:b/>
          <w:i/>
          <w:color w:val="000000"/>
          <w:sz w:val="20"/>
        </w:rPr>
        <w:t>Voting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each share of redeemable convertible preferred stock were entitled to the number of votes equal to the number of shares of common stock into which such shares of redeemable convertible preferred stock could be converted. With respect to such votes, the holders had full voting rights and powers equal to the voting rights and powers of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holders of Series C redeemable convertible preferred stock, exclusively and as a separate class, were entitled to elect one director of the Company. The holders of Series B redeemable convertible preferred stock, exclusively and as a separate class, were entitled to elect one director of the Company. The holders of Series A-1 redeemable convertible preferred stock and Series A-2 redeemable convertible preferred stock, exclusively and as a separate class, were entitled to elect two directors of the Company. The holders of common stock, exclusively and as a separate class, were entitled to elect two directors of the Company. The holders of shares of redeemable convertible preferred stock and common stock were entitled, voting together as a combined class and on an as-converted basis, to elect the remaining directors of the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Redemption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shares of Series C redeemable convertible preferred stock were to be redeemed by the Company at a price per share equal to the applicable original issue price, plus all declared but unpaid dividends thereon, in one installment commencing not more than 60 days after receipt by the Company and the other holders of Series C redeemable convertible preferred stock of written notice requesting redemption of all shares of Series C redeemable convertible preferred stock held by such holder of Series C redeemable convertible preferred stock. Such redemption could occur at any time on or after March 31, 2035, provided that a firm-commitment underwritten public offering pursuant to an effective registration statement under the Securities Act of 1933, as amended, or a deemed liquidation event, had not occurred prior to that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shares of Series B redeemable convertible preferred stock were to be redeemed by the Company at a price per share equal to the applicable original issue price, plus all declared but unpaid dividends thereon, in one installment commencing not more than 60 days after receipt by the Company and the other holders of Series B redeemable convertible preferred stock of written notice requesting redemption of all shares of Series B redeemable convertible preferred stock held by such holder of Series B redeemable convertible preferred stock. Such redemption could occur at any time on or after March 31, 2035, provided that a firm-commitment underwritten public offering pursuant to an effective registration statement under the Securities Act of 1933, as amended, or a deemed liquidation event, had not occurred prior to that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of Series A-1 redeemable convertible preferred stock and Series A-2 redeemable convertible preferred stock were not redeemable other than upon the occurrence of a Liquidation Event.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Preferred Stock Tranche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the contingent obligation to issue additional shares of Series B redeemable convertible preferred stock (the “Series B Second Tranche Shares”) upon the achievement of a specified development milestone (the “Series B Milestone”), at the related closing (the “Series B Milestone Closing”), represented a freestanding instrument. This instrument, referred to as the Series B preferred stock tranche liability, was accounted for as a liability, initially recorded and subsequently remeasured at fair value until the settlement or expiration.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Series B preferred stock tranche was settled in January 2025 when the Series B milestone was achieved. The Company remeasured the Series B preferred stock tranche liability in January 2025 and determined that the fair value of the liability was $6.8 million, and recorded an approximately $0.2 million loss in its condensed consolidated statements of operations and comprehensive loss during the six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preferred stock tranche liability was valued using a probability-weighted present value calculation. In determining the fair value of the preferred stock tranche liability, estimates and assumptions impacting fair value included (i) discount rates, (ii) the expected term of the forward, and (iii) the probability of the tranche closing. Significant increases (decreases) in any of those inputs in isolation may result in a significant change in fair value measurement. The Company determined the per share future value of the Series B redeemable convertible preferred stock by back-solving to the original issue price of the Series B redeemable convertible preferred stock financing. In January 2025, upon the achievement of the Series B milestone, the Series B Milestone Closing was completed, and the associated Series B preferred stock tranche liability was settled. The fair value of the Series B redeemable convertible preferred stock was $1.55 per share and represented the only input used in determining the fair value of the Series B preferred stock tranche liability upon the Series B Milestone Closing.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was authorized to issue 284,023,000 shares of common stock with a par value of $0.0001 per share. There were 4,529,100 shares of common stock issued and outstanding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reserved common stock, on an as-converted basis, for future issuance as follows: </w:t>
      </w:r>
    </w:p>
    <w:p>
      <w:pPr>
        <w:pStyle w:val="TextBody"/>
        <w:bidi w:val="0"/>
        <w:jc w:val="left"/>
        <w:rPr/>
      </w:pPr>
      <w:r>
        <w:rPr/>
        <w:t> </w:t>
      </w:r>
    </w:p>
    <w:tbl>
      <w:tblPr>
        <w:tblW w:w="8042" w:type="dxa"/>
        <w:jc w:val="left"/>
        <w:tblInd w:w="0" w:type="dxa"/>
        <w:tblLayout w:type="fixed"/>
        <w:tblCellMar>
          <w:top w:w="28" w:type="dxa"/>
          <w:left w:w="28" w:type="dxa"/>
          <w:bottom w:w="28" w:type="dxa"/>
          <w:right w:w="28" w:type="dxa"/>
        </w:tblCellMar>
      </w:tblPr>
      <w:tblGrid>
        <w:gridCol w:w="4531"/>
        <w:gridCol w:w="146"/>
        <w:gridCol w:w="146"/>
        <w:gridCol w:w="1036"/>
        <w:gridCol w:w="146"/>
        <w:gridCol w:w="146"/>
        <w:gridCol w:w="185"/>
        <w:gridCol w:w="1315"/>
        <w:gridCol w:w="3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redeemable convertible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21,517,976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21,517,976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2,642,930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available for future grant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common stock reserved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24,587,872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24,609,886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Share-based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2023, the Company adopted the 2023 Equity Incentive Plan (“2023 Plan”), under which the Board of Directors can issue options to purchase shares of common stock. As of June 30, 2026, there were 3,293,424 shares of common stock authorized and reserved for issuance under the 2023 Plan, of which 383,816 shares remained available for future grant. </w:t>
      </w:r>
    </w:p>
    <w:p>
      <w:pPr>
        <w:pStyle w:val="TextBody"/>
        <w:bidi w:val="0"/>
        <w:spacing w:before="360" w:after="283"/>
        <w:jc w:val="left"/>
        <w:rPr>
          <w:rFonts w:ascii="Times New Roman" w:hAnsi="Times New Roman"/>
          <w:sz w:val="20"/>
        </w:rPr>
      </w:pPr>
      <w:r>
        <w:rPr>
          <w:rFonts w:ascii="Times New Roman" w:hAnsi="Times New Roman"/>
          <w:i/>
          <w:color w:val="000000"/>
          <w:sz w:val="20"/>
        </w:rPr>
        <w:t>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stock option activity is set forth below: </w:t>
      </w:r>
    </w:p>
    <w:p>
      <w:pPr>
        <w:pStyle w:val="TextBody"/>
        <w:bidi w:val="0"/>
        <w:jc w:val="left"/>
        <w:rPr/>
      </w:pPr>
      <w:r>
        <w:rPr/>
        <w:t> </w:t>
      </w:r>
    </w:p>
    <w:tbl>
      <w:tblPr>
        <w:tblW w:w="9077" w:type="dxa"/>
        <w:jc w:val="left"/>
        <w:tblInd w:w="0" w:type="dxa"/>
        <w:tblLayout w:type="fixed"/>
        <w:tblCellMar>
          <w:top w:w="28" w:type="dxa"/>
          <w:left w:w="28" w:type="dxa"/>
          <w:bottom w:w="28" w:type="dxa"/>
          <w:right w:w="28" w:type="dxa"/>
        </w:tblCellMar>
      </w:tblPr>
      <w:tblGrid>
        <w:gridCol w:w="3616"/>
        <w:gridCol w:w="146"/>
        <w:gridCol w:w="146"/>
        <w:gridCol w:w="931"/>
        <w:gridCol w:w="166"/>
        <w:gridCol w:w="146"/>
        <w:gridCol w:w="248"/>
        <w:gridCol w:w="548"/>
        <w:gridCol w:w="146"/>
        <w:gridCol w:w="146"/>
        <w:gridCol w:w="293"/>
        <w:gridCol w:w="937"/>
        <w:gridCol w:w="146"/>
        <w:gridCol w:w="146"/>
        <w:gridCol w:w="267"/>
        <w:gridCol w:w="858"/>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exercisable,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fair value of options that vested during the six months ended June 30, 2026 and 2025 was $1.5 million and $0.9 million, respectively. The weighted-average grant date fair value of options granted during the six months ended June 30, 2026 and 2025 was $5.17 and $3.28,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was $4.8 million of unrecognized stock-based compensation expense related to unvested stock options, which is expected to be recognized over a weighted-average period of 2.3 years.</w:t>
      </w:r>
    </w:p>
    <w:p>
      <w:pPr>
        <w:pStyle w:val="TextBody"/>
        <w:bidi w:val="0"/>
        <w:spacing w:before="360" w:after="283"/>
        <w:jc w:val="left"/>
        <w:rPr>
          <w:rFonts w:ascii="Times New Roman" w:hAnsi="Times New Roman"/>
          <w:sz w:val="20"/>
        </w:rPr>
      </w:pPr>
      <w:r>
        <w:rPr>
          <w:rFonts w:ascii="Times New Roman" w:hAnsi="Times New Roman"/>
          <w:i/>
          <w:color w:val="000000"/>
          <w:sz w:val="20"/>
        </w:rPr>
        <w:t>Restricted Stock Awards (“RSAs”)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Activity with respect to restricted stock awards was as follows: </w:t>
      </w:r>
    </w:p>
    <w:p>
      <w:pPr>
        <w:pStyle w:val="TextBody"/>
        <w:bidi w:val="0"/>
        <w:jc w:val="left"/>
        <w:rPr/>
      </w:pPr>
      <w:r>
        <w:rPr/>
        <w:t> </w:t>
      </w:r>
    </w:p>
    <w:tbl>
      <w:tblPr>
        <w:tblW w:w="4997" w:type="dxa"/>
        <w:jc w:val="left"/>
        <w:tblInd w:w="0" w:type="dxa"/>
        <w:tblLayout w:type="fixed"/>
        <w:tblCellMar>
          <w:top w:w="28" w:type="dxa"/>
          <w:left w:w="28" w:type="dxa"/>
          <w:bottom w:w="28" w:type="dxa"/>
          <w:right w:w="28" w:type="dxa"/>
        </w:tblCellMar>
      </w:tblPr>
      <w:tblGrid>
        <w:gridCol w:w="2416"/>
        <w:gridCol w:w="146"/>
        <w:gridCol w:w="146"/>
        <w:gridCol w:w="841"/>
        <w:gridCol w:w="166"/>
        <w:gridCol w:w="146"/>
        <w:gridCol w:w="294"/>
        <w:gridCol w:w="651"/>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br/>
              <w:t>Stock</w:t>
              <w:br/>
              <w:t>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16"/>
        </w:rPr>
      </w:pPr>
      <w:r>
        <w:rPr>
          <w:rFonts w:ascii="Times New Roman" w:hAnsi="Times New Roman"/>
          <w:color w:val="000000"/>
          <w:sz w:val="20"/>
        </w:rPr>
        <w:t>As of June 30, 2026, there was $0.6</w:t>
      </w:r>
      <w:r>
        <w:rPr>
          <w:rFonts w:ascii="Times New Roman" w:hAnsi="Times New Roman"/>
          <w:color w:val="000000"/>
          <w:sz w:val="16"/>
        </w:rPr>
        <w:t xml:space="preserve"> </w:t>
      </w:r>
      <w:r>
        <w:rPr>
          <w:rFonts w:ascii="Times New Roman" w:hAnsi="Times New Roman"/>
          <w:color w:val="000000"/>
          <w:sz w:val="20"/>
        </w:rPr>
        <w:t>million of unrecognized stock-based compensation expense related to unvested RSAs, which is expected to be recognized over a weighted-average period of 0.8</w:t>
      </w:r>
      <w:r>
        <w:rPr>
          <w:rFonts w:ascii="Times New Roman" w:hAnsi="Times New Roman"/>
          <w:color w:val="000000"/>
          <w:sz w:val="16"/>
        </w:rPr>
        <w:t xml:space="preserve"> </w:t>
      </w:r>
      <w:r>
        <w:rPr>
          <w:rFonts w:ascii="Times New Roman" w:hAnsi="Times New Roman"/>
          <w:color w:val="000000"/>
          <w:sz w:val="20"/>
        </w:rPr>
        <w:t>years. No RSAs were repurchased or cancelled during the six months ended June 30, 2026 and 2025.</w:t>
      </w:r>
      <w:r>
        <w:rPr>
          <w:rFonts w:ascii="Times New Roman" w:hAnsi="Times New Roman"/>
          <w:color w:val="000000"/>
          <w:sz w:val="16"/>
        </w:rPr>
        <w:t xml:space="preserve"> </w:t>
      </w:r>
    </w:p>
    <w:p>
      <w:pPr>
        <w:pStyle w:val="TextBody"/>
        <w:bidi w:val="0"/>
        <w:spacing w:before="360" w:after="283"/>
        <w:jc w:val="left"/>
        <w:rPr>
          <w:rFonts w:ascii="Times New Roman" w:hAnsi="Times New Roman"/>
          <w:sz w:val="20"/>
        </w:rPr>
      </w:pPr>
      <w:r>
        <w:rPr>
          <w:rFonts w:ascii="Times New Roman" w:hAnsi="Times New Roman"/>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classification of stock-based compensation expense related to awards granted to employees and non-employees (in thousands): </w:t>
      </w:r>
    </w:p>
    <w:p>
      <w:pPr>
        <w:pStyle w:val="TextBody"/>
        <w:bidi w:val="0"/>
        <w:jc w:val="left"/>
        <w:rPr/>
      </w:pPr>
      <w:r>
        <w:rPr/>
        <w:t> </w:t>
      </w:r>
    </w:p>
    <w:tbl>
      <w:tblPr>
        <w:tblW w:w="8412" w:type="dxa"/>
        <w:jc w:val="left"/>
        <w:tblInd w:w="0" w:type="dxa"/>
        <w:tblLayout w:type="fixed"/>
        <w:tblCellMar>
          <w:top w:w="28" w:type="dxa"/>
          <w:left w:w="28" w:type="dxa"/>
          <w:bottom w:w="28" w:type="dxa"/>
          <w:right w:w="28" w:type="dxa"/>
        </w:tblCellMar>
      </w:tblPr>
      <w:tblGrid>
        <w:gridCol w:w="3451"/>
        <w:gridCol w:w="146"/>
        <w:gridCol w:w="307"/>
        <w:gridCol w:w="613"/>
        <w:gridCol w:w="212"/>
        <w:gridCol w:w="212"/>
        <w:gridCol w:w="307"/>
        <w:gridCol w:w="613"/>
        <w:gridCol w:w="146"/>
        <w:gridCol w:w="146"/>
        <w:gridCol w:w="235"/>
        <w:gridCol w:w="637"/>
        <w:gridCol w:w="162"/>
        <w:gridCol w:w="162"/>
        <w:gridCol w:w="235"/>
        <w:gridCol w:w="63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Related Party Transactions </w:t>
      </w:r>
    </w:p>
    <w:p>
      <w:pPr>
        <w:pStyle w:val="TextBody"/>
        <w:bidi w:val="0"/>
        <w:spacing w:before="120" w:after="283"/>
        <w:jc w:val="left"/>
        <w:rPr>
          <w:rFonts w:ascii="Times New Roman" w:hAnsi="Times New Roman"/>
          <w:sz w:val="20"/>
        </w:rPr>
      </w:pPr>
      <w:r>
        <w:rPr>
          <w:rFonts w:ascii="Times New Roman" w:hAnsi="Times New Roman"/>
          <w:i/>
          <w:color w:val="000000"/>
          <w:sz w:val="20"/>
        </w:rPr>
        <w:t>Alamar Platform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Company issued 2,428,646 shares of its common stock to Alamar, an existing holder of the Company’s common stock, in exchange for the in-process research and development asset acquired under the Alamar Platform License Agreement (see Note 5). Alamar owned 800,632 shares of the Company’s common stock prior to this transaction, which was received by Alamar upon the Company’s incorporation in December 2022. </w:t>
      </w:r>
    </w:p>
    <w:p>
      <w:pPr>
        <w:pStyle w:val="TextBody"/>
        <w:bidi w:val="0"/>
        <w:spacing w:before="360" w:after="283"/>
        <w:jc w:val="left"/>
        <w:rPr>
          <w:rFonts w:ascii="Times New Roman" w:hAnsi="Times New Roman"/>
          <w:sz w:val="20"/>
        </w:rPr>
      </w:pPr>
      <w:r>
        <w:rPr>
          <w:rFonts w:ascii="Times New Roman" w:hAnsi="Times New Roman"/>
          <w:i/>
          <w:color w:val="000000"/>
          <w:sz w:val="20"/>
        </w:rPr>
        <w:t>Alamar Lease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Company entered into a lease agreement with Alamar, which was amended four times between October 2023 and October 2024, to lease approximately 10,422 square feet of office and laboratory spaces in Fremont, California. The lease expired in March 2025. The Company recognized expense of $0 and $0.2 million during the three and six months ended June 30, 2025, respectively. </w:t>
      </w:r>
    </w:p>
    <w:p>
      <w:pPr>
        <w:pStyle w:val="TextBody"/>
        <w:bidi w:val="0"/>
        <w:spacing w:before="360" w:after="283"/>
        <w:jc w:val="left"/>
        <w:rPr>
          <w:rFonts w:ascii="Times New Roman" w:hAnsi="Times New Roman"/>
          <w:sz w:val="20"/>
        </w:rPr>
      </w:pPr>
      <w:r>
        <w:rPr>
          <w:rFonts w:ascii="Times New Roman" w:hAnsi="Times New Roman"/>
          <w:i/>
          <w:color w:val="000000"/>
          <w:sz w:val="20"/>
        </w:rPr>
        <w:t>Other Services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Company entered into a Services Agreement (the “Services Agreement”) with Alamar, under which Alamar provides certain initial clerical, executive, and administrative services. In February 2024, the Company entered into a research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agreement (together with the Services Agreement, the “Services Agreements”) for Alamar to provide certain research diagnostic services. Under both Services Agreements, the Company recognized expense of $0.2 million and less than $0.1 million during the three months ended June 30, 2026 and 2025, respectively. Under both Services Agreements, the Company recognized expense of $0.2 million and $0.1 million during the six months ended June 30, 2026 and 2025, respectively. The Company had an accounts payable balance of less than $0.1 million as of June 30, 2026 and December 31,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share attributable to common stockholders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211"/>
        <w:gridCol w:w="931"/>
        <w:gridCol w:w="166"/>
        <w:gridCol w:w="146"/>
        <w:gridCol w:w="211"/>
        <w:gridCol w:w="931"/>
        <w:gridCol w:w="166"/>
        <w:gridCol w:w="146"/>
        <w:gridCol w:w="211"/>
        <w:gridCol w:w="931"/>
        <w:gridCol w:w="166"/>
        <w:gridCol w:w="146"/>
        <w:gridCol w:w="211"/>
        <w:gridCol w:w="931"/>
        <w:gridCol w:w="59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redeemable convertible preferred stock</w:t>
              <w:br/>
              <w:t>   to its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4,447,823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Weighted average common shares subject</w:t>
              <w:br/>
              <w: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used in computing basic</w:t>
              <w:br/>
              <w:t>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3,851,124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per share attributable to common</w:t>
              <w:br/>
              <w:t>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outstanding shares of potentially dilutive securities were excluded from the computation of diluted net loss per share attributable to common stockholders for the periods presented because including them would have been antidilutive: </w:t>
      </w:r>
    </w:p>
    <w:p>
      <w:pPr>
        <w:pStyle w:val="TextBody"/>
        <w:bidi w:val="0"/>
        <w:jc w:val="left"/>
        <w:rPr/>
      </w:pPr>
      <w:r>
        <w:rPr/>
        <w:t> </w:t>
      </w:r>
    </w:p>
    <w:tbl>
      <w:tblPr>
        <w:tblW w:w="7029" w:type="dxa"/>
        <w:jc w:val="left"/>
        <w:tblInd w:w="0" w:type="dxa"/>
        <w:tblLayout w:type="fixed"/>
        <w:tblCellMar>
          <w:top w:w="28" w:type="dxa"/>
          <w:left w:w="28" w:type="dxa"/>
          <w:bottom w:w="28" w:type="dxa"/>
          <w:right w:w="28" w:type="dxa"/>
        </w:tblCellMar>
      </w:tblPr>
      <w:tblGrid>
        <w:gridCol w:w="4036"/>
        <w:gridCol w:w="146"/>
        <w:gridCol w:w="146"/>
        <w:gridCol w:w="1036"/>
        <w:gridCol w:w="146"/>
        <w:gridCol w:w="146"/>
        <w:gridCol w:w="146"/>
        <w:gridCol w:w="103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21,517,976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21,517,976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early exercised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24,436,674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24,623,231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Employee Benefit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sponsors a qualified 401(k) defined contribution plan (the “401(k) Plan”) covering eligible employees. Participants may contribute a portion of their annual compensation limited to a maximum annual amount set by the Internal Revenue Service. The Company’s contributions to the 401(k) Plan were $0.1 million and less than $0.1 million for the three months ended June 30, 2026 and 2025, respectively. The Company’s contributions to the 401(k) Plan were $0.2 million and $0.1 million for the six months ended June 30, 2026 and 2025,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Segment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uses net loss to measure segment loss and assesses performance against expectations to make resource allocation decisions. In making this assessment, the CODM reviews and evaluates net loss to monitor budget versus actual results and to analyze cash flows for purposes of allocating resources and assessing financial performance. Additionally, the CODM reviews and uses significant expense categories included within net loss as well as the disaggregated amounts within research and development expenses indicated in the table below to manage the Company’s operations. The measure of segment assets is reported on the condensed consolidated balance sheets as total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significant expense categories included within net loss presented on the Company’s condensed consolidated statements of operations and comprehensive loss, the following table provides disaggregated amounts that comprised research and development expenses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19"/>
        <w:gridCol w:w="1646"/>
        <w:gridCol w:w="213"/>
        <w:gridCol w:w="684"/>
        <w:gridCol w:w="147"/>
        <w:gridCol w:w="147"/>
        <w:gridCol w:w="213"/>
        <w:gridCol w:w="684"/>
        <w:gridCol w:w="146"/>
        <w:gridCol w:w="246"/>
        <w:gridCol w:w="211"/>
        <w:gridCol w:w="676"/>
        <w:gridCol w:w="146"/>
        <w:gridCol w:w="146"/>
        <w:gridCol w:w="211"/>
        <w:gridCol w:w="676"/>
        <w:gridCol w:w="894"/>
      </w:tblGrid>
      <w:tr>
        <w:trPr/>
        <w:tc>
          <w:tcPr>
            <w:tcW w:w="311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31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9"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External costs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19"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Clinical, manufacturing, and preclinical services</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8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19"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Professional consulting services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8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19"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Consumables and other research and development costs</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9"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Internal costs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19"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Personnel-related costs</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w:t>
            </w:r>
          </w:p>
        </w:tc>
        <w:tc>
          <w:tcPr>
            <w:tcW w:w="8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19"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Facilities and overhead costs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3119" w:type="dxa"/>
            <w:tcBorders/>
            <w:shd w:fill="FFFFFF" w:val="clear"/>
            <w:tcMar>
              <w:top w:w="0" w:type="dxa"/>
              <w:left w:w="0" w:type="dxa"/>
              <w:bottom w:w="0" w:type="dxa"/>
              <w:right w:w="0" w:type="dxa"/>
            </w:tcMar>
            <w:vAlign w:val="center"/>
          </w:tcPr>
          <w:p>
            <w:pPr>
              <w:pStyle w:val="TableContents"/>
              <w:bidi w:val="0"/>
              <w:spacing w:before="0" w:after="283"/>
              <w:ind w:left="0" w:right="0" w:firstLine="1500"/>
              <w:jc w:val="left"/>
              <w:rPr>
                <w:rFonts w:ascii="Times New Roman" w:hAnsi="Times New Roman"/>
                <w:color w:val="000000"/>
                <w:sz w:val="20"/>
              </w:rPr>
            </w:pPr>
            <w:r>
              <w:rPr>
                <w:rFonts w:ascii="Times New Roman" w:hAnsi="Times New Roman"/>
                <w:color w:val="000000"/>
                <w:sz w:val="20"/>
              </w:rPr>
              <w:t>Total research and development expenses</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18,946</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25,444</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22, 2026, in addition to approving the Reverse Stock Split described in Note 2, the board of directors approved grants of stock options upon the effectiveness of the Company’s registration statement on Form S-1 (File No. 333-297452) relating to the IPO covering an aggregate of 1,642,700 shares of common stock to certain employees, consultants, and members of the board of directors. The awards are subject to service-based vesting requirements. The exercise price of the options equals the initial public offering price of $17.00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2026, prior to the IPO closing, the Company’s board of directors and stockholders approved the 2026 Equity Incentive Plan (the “2026 Plan”), which became effective on August 3, 2026. The Company initially reserved 4,900,000 shares of common stock for issuance of share-based compensation awards, plus any reserved shares not issued or subject to outstanding grants under the 2023 Plan on the effective date of the 2026 Plan. Awards granted under the 2026 Plan may be either incentive stock options (“ISOs”), nonqualified stock options (“NSOs”), restricted stock units, RSAs, stock appreciation rights and other stock-based awards. Shares of common stock subject to awards granted under the 2023 Plan that are forfeited or lapse unexercised will be available for issuance under the 2026 Plan. Once the 2026 Plan became effective, no further grants were made under the 2023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2026, the Company’s board of directors and stockholders approved the 2026 Employee Stock Purchase Plan (“ESPP”), which became effective on August 4, 2026. The ESPP allows eligible employees to purchase shares of the Company’s common stock through payroll deductions at a purchase price equal to 85% of the lesser of the fair market value of the common stock on (i) the first trading day of the applicable offering period or (ii) the last trading day of the applicable purchase period. Each offering period may itself consist of one or more purchase periods. No offering period may be longer than 27 months. There were 410,000 shares of common stock initially reserved for issuance under the ESPP. The number of common stock reserved for issuance will automatically increase on January 1 of each calendar year, from January 1, 2027 through January 1, 2036, by the lesser of (a) 1% of the total number of shares of all classes of the Company’s common stock, plus the total number of shares of the Company’s common stock issuable upon conversion of any preferred stock (if any) and the total number of shares of the Company’s common stock subject to any pre-funded warrants, as issued and outstanding as of the immediately preceding December 31; and (b) such number of shares of common stock determined by the board of directors of the Company or compensation committee.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condensed consolidated financial statements and the related notes and other financial information included elsewhere in this Quarterly Report on Form 10-Q and with our audited financial statements and the notes thereto for the year ended December 31, 2025 included in our final prospectus for our initial public offering (the “final prospectus”), filed with the SEC on August 5, 2026 pursuant to Rule 424(b)(4) under the Securities Act of 1933, as amended (the Securities Act). This discussion and analysis and other parts of this Quarterly Report on Form 10-Q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Factors that could cause or contribute to such differences include, but are not limited to, those discussed in the section of this Quarterly Report on Form 10-Q entitled “Risk Factors,” under Part II, Item 1A. Please also see the section titled “Special Note Regarding Forward-Looking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developing next-generation biotherapeutics for immune-mediated diseases with high unmet need. Our lead pipeline candidates target commercially validated pathways and are designed through our ATTOBODY biologics platform to deliver improved treatments relative to the current standards of care. Leveraging our ATTOBODY platform, we have nominated three product candidates within our first two years, including one currently in the clinic, ATTO-1310. ATTO-1310 is an ATTOBODY-based therapeutic targeting interleukin-31 (IL-31) that completed dosing in a Phase 1 clinical trial in healthy volunteers and patients in the first quarter of 2026. ATTO-2306 is an ATTOBODY-based bispecific targeting interleukin-13 (IL-13) and IL-31 that is in investigational new drug (IND)-enabling studies, and we expect to commence a Phase 1 clinical trial in the first half of 2027. Lastly, ATTO-1091 is our trispecific ATTOBODY-based Fc fusion protein that is designed to block TL1A, IL-23 and integrin α4ß7 simultaneously, is currently in IND-enabling studies, and, subject to IND clearance, is expected to enter a Phase 1 clinical trial in the first half of 2027.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our product candidates have been internally discovered using our ATTOBODY biparatopic biologics platform, which we have in-licensed from Alamar Biosciences, Inc. (Alamar). Our ATTOBODY platform uses an evolution-driven, high-throughput process which allows for rapid discovery and the creation of a high diversity of potential product candidates. Our initial focus for ATTOBODIES has been to develop novel biotherapeutics targeting highly synergistic, clinically and commercially validated pathways where early data indicates the potential of our candidates to deliver next-generation treatments relative to the current standards of care. Our early-stage discovery efforts have further expanded our pipeline to additional complex biologics, including conditional “AND” gate bispecifics directed against novel targets, which are historically difficult to develop with conventional antibody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losses and negative cash flows from operations since our inception. Our net loss for the years ended December 31, 2025 and 2024 was $60.6 million and $39.8 million, respectively. Our net loss for the six months ended June 30, 2026 and 2025 was $39.3 million and $29.6 million, respectively. As of June 30, 2026, we had an accumulated deficit of $150.4 million. Substantially all of our net losses have resulted from costs incurred in connection with our research and development programs and, to a lesser extent, from general and administrative costs associated with our operations. Our net losses and operating losses may fluctuate from quarter to quarter and year to year depending primarily on the timing of our preclinical studies and clinical trials, our other research and development expenses, and the timing and amount of any milestone or royalty payments due under our existing or future license agreements.</w:t>
      </w:r>
    </w:p>
    <w:p>
      <w:pPr>
        <w:pStyle w:val="TextBody"/>
        <w:bidi w:val="0"/>
        <w:spacing w:before="240" w:after="283"/>
        <w:jc w:val="left"/>
        <w:rPr>
          <w:rFonts w:ascii="Times New Roman" w:hAnsi="Times New Roman"/>
          <w:sz w:val="2"/>
        </w:rPr>
      </w:pPr>
      <w:r>
        <w:rPr>
          <w:rFonts w:ascii="Times New Roman" w:hAnsi="Times New Roman"/>
          <w:color w:val="000000"/>
          <w:sz w:val="20"/>
        </w:rPr>
        <w:t>We have devoted substantially all of our resources to organizing our company, hiring personnel, business planning, acquiring and developing our product candidates, performing research and development, conducting research, preclinical studies and clinical trials, enabling manufacturing activities in support of our product development efforts, building our platform technologies, establishing, expanding and protecting our intellectual property portfolio, establishing licensing arrangements, raising capital, and providing general and administrative support for these operations. We do not have any products approved for sale and have not generated any revenue from product sales. We expect to continue to incur significant and increasing expenses and substantial losses for the foreseeable future as we continue our development of and seek regulatory approvals for our product candidates and commercialize any approved products, seek to expand our product pipeline and invest in our organization. Our ability to achieve and sustain profitability will depend on our ability to successfully develop, obtain regulatory approval for and commercialize our product candidates. There can be no assurance that we will ever generate product revenue or achieve profitability, or if achieved, that the product revenue or profitability will be sustained on a continuing basis.</w:t>
      </w:r>
      <w:r>
        <w:rPr>
          <w:rFonts w:ascii="Times New Roman" w:hAnsi="Times New Roman"/>
          <w:color w:val="000000"/>
          <w:sz w:val="2"/>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inception through June 30, 2026, we have primarily funded our operations with proceeds from sales of shares of our redeemable convertible preferred stock in private placements. As of June 30, 2026, we have received aggregate gross proceeds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$255.8 million from sales of shares of our redeemable convertible preferred stock, which includes aggregate gross proceeds of $52.5 million from the sale of the second tranche of our Series B redeemable convertible preferred stock in January 2025 and aggregate gross proceeds of $90.0 million from the sale of our Series C redeemable convertible preferred stock in March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6, 2026, we completed our initial public offering of our common stock (the IPO), in which we issued and sold an aggregate of 19,550,000 shares of common stock (inclusive of 2,550,000 shares issued and sold pursuant to the exercise by the underwriters of their option to purchase additional shares) at a price to the public of $17.00 per share, for aggregate gross proceeds of $332.4 million and net proceeds of approximately $305.4 million, after deducting underwriting discounts and commissions and estimated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our stage of development, we currently have no sales, marketing or commercialization capabilities. However, we intend to build the necessary sales, marketing and commercialization capabilities and infrastructure over time as our product candidates advance through clinical development. We expect to spend a significant amount on development and marketing costs prior to obtaining regulatory and marketing approval of one or more of our product candidates. We expect that our expenses and capital requirements will increase substantially in the near- to mid-term as we continue our development efforts for ATTO-1310, ATTO-2306, ATTO-1091, and our other development programs, add clinical, scientific, sales and marketing, operational and financial personnel, including personnel to support our product development and potential future commercialization activities, and to make any milestone or royalty payments that become due under our existing or future license or collaboration agreements. Based on our current operating plan, we estimate that our existing cash, cash equivalents and marketable securities, together with the net proceeds from our IPO, will be sufficient to fund our projected operating expenses and capital expenditure requirements into 2030. We have based this estimate on our current assumptions, which may prove to be wrong, and we may exhaust our available capital resources sooner than we expect. Our forecast of the period of time through which our financial resources will be adequate to support our operations is a forward-looking statement that involves risks and uncertainties, and actual results could vary materially. </w:t>
      </w:r>
    </w:p>
    <w:p>
      <w:pPr>
        <w:pStyle w:val="TextBody"/>
        <w:bidi w:val="0"/>
        <w:spacing w:before="360" w:after="283"/>
        <w:jc w:val="left"/>
        <w:rPr>
          <w:rFonts w:ascii="Times New Roman" w:hAnsi="Times New Roman"/>
          <w:sz w:val="20"/>
        </w:rPr>
      </w:pPr>
      <w:r>
        <w:rPr>
          <w:rFonts w:ascii="Times New Roman" w:hAnsi="Times New Roman"/>
          <w:b/>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Alamar Platform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party to a Second Amended and Restated Platform License Agreement (the Alamar Platform License Agreement) with Alamar, which is effective as of June 1, 2023. Under the Alamar Platform License Agreement, Alamar granted us a worldwide, non-transferable, sublicensable license to use the antibody engineering platform developed by or on behalf of Alamar (the ATTOBODY Platform) within the therapeutic field (the Alamar License). The Alamar License allows us to identify new molecules or gene codes, research, develop, manufacture, and commercialize new or existing molecules or gene codes identified using the ATTOBODY Platform (Products), and to develop improvements to the ATTOBODY Platform. This license is exclusive in the therapeutic field with respect to Alamar patents and patent applications, and non-exclusive with respect to Alamar know-how.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execution of the Alamar Platform License Agreement, on June 1, 2023, we issued 2,428,646 shares of our common stock to Alamar as consideration for the Alamar License. The Alamar Platform License Agreement requires us to pay Alamar up to $4.3 million per Product in aggregate milestone payments upon the completion of certain clinical and regulatory milestones. The Alamar Platform License Agreement also requires that we pay Alamar tiered royalties in low single digit percentages on net sales of Products on a Product-by-Product basis, subject to certain deductions, provided that if no valid claim covers a Product in a country, then the royalty percentage applicable to net sales in such country shall be reduced to percentages also in the low single digits.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Milestone payments are contingent consideration and are accrued when it becomes probable that the underlying milestone will be achieved. We recorded $0.3 million as research and development expenses in our consolidated statements of operations during the year ended December 31, 2025, related to the achievement of a development milestone for ATTO-3712, a prior product candidate that ATTO-2306 is designed to improve upon. The remaining milestones were considered not probable to be achieved as of June 30, 2026 and December 31, 2025. Royalties will be recognized as cost of sales when products are sold and royalties are payable.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EndPath License Agreement and Equity Distribution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we entered into a license agreement with EndPath RadioTherapeutics, Inc. (formerly Isotovia Biosciences, Inc.) (EndPath), under which we granted EndPath an exclusive, worldwide license to certain of our ATTOBODY platform technology for radioligand products (the EndPath Agreement) and agreed to perform initial research and development services for two targets. We account for the EndPath Agreement as a customer contract under ASC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and recognized $0.5 million and $1.4 million of collaboration revenue during the six months ended June 30, 2026 and the year ended December 31, 2025, respectively. We may recognize additional revenue in future periods from variable consideration of $0.6 million, currently recognized as customer deposit liability, and, if achieved, milestone payments and royalties under the EndPath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5 to our condensed consolidated financial statements included elsewhere in this Quarterly Report on Form 10-Q for further information.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collaboration revenue from the EndPath Agreement for research and development services related to radioligand products. To date, we have not generated any revenue from the sale of products. We do not expect to generate any such revenue unless and until such time as our product candidates have advanced through clinical development and regulatory approval, if ever. If we fail to complete preclinical and clinical development of any product candidates or obtain regulatory approval for them, our ability to generate future product revenues, and our results of operations and financial position would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(i) research and development expenses and (ii) general and administrative expenses.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of external and internal costs primarily related to acquiring our product candidate pipeline and technologies, and preclinical and clinical development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costs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incurred in connection with the preclinical and clinical development of our product candidates, including under agreements with contract research organizations (CROs), contract manufacturing organizations (CMOs) and other third parties that conduct clinical trials and manufacture clinical supplies, product candidates, and components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acquiring technology and intellectual property licenses that have no alternative future uses and costs incurred under in-license agreements, including milestone payments;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for third-party professional research and development consulting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costs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personnel-related costs, including salaries, benefits, travel and meals expenses and stock-based compensation expense;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allocated facilities and other overhead costs, including software, computer supplies and accessories and other miscellaneous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prepaid expenses and other current assets on our condensed consolidated balance sheets. The capitalized amounts are recognized as expense as the goods are delivered or as related services are performed. Since our inception and through June 30, 2026, substantially all of our third-party expenses were related to the development of ATTO-1310, ATTO-2306, ATTO-3712 and ATTO-1091. We do not allocate employee costs, laboratory supplies and facilities, including other internal costs, to specific product candidates because these costs are associated with multiple programs and, as such, are not separately classified. We use internal resources primarily for managing our process development, manufacturing, and clinical development activities. We deploy our personnel across all of our research and development activities and, as our employees work across multiple programs, we do not currently track our costs by product candidate indication.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our research and development expenses to increase substantially for the foreseeable future as we advance our product candidates into and through clinical trials, pursue regulatory approval of our product candidates, build our operational and commercial capabilities for supplying and marketing our products, if approved, and expand our pipeline of product candidates. We expect to incur significant manufacturing costs as our CMOs develop scaled commercial manufacturing processes.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programs, competition, manufacturing capability and commercial viability. We may never succeed in achieving regulatory approval for any of our product candidates. As a result of the uncertainties discussed above, we are unable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determine the duration and completion of costs of our research and development projects or if, when and to what extent we will generate revenue from the commercialization and sale of our product candidates, if approved by the U.S. Food and Drug Administration (the FDA) and other applicable regulatory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research and development costs may vary significantly based on factors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results of our preclinical studies and clinical development activities for ATTO-1310, ATTO-2306, ATTO-1091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and timing of any milestone payment due under an existing, or any future, license or collaboration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fees associated with discovery, acquisition or in-license of our products or technologies, including to maintain and expand our ATTOBODY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that participate in our clinical trials, and per participant clinical trial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duration of clinical trials required for approval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sites included in our clinical trials, and the locations of those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or difficulties in adding trial sites, and enrolling participants in our clinical trials, or higher than expected patient drop-out or discontinuation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of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terms of any approvals from applicable regulatory authorities including the FDA and foreign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 candidates following approval, if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competitive outlook;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we pursue strategic collaborations, including collaborations to commercialize ATTO-1310, ATTO-2306, ATTO-1091 or any of our future product candidates, our ability to establish and maintain collaborations on favorable terms, if at all, as well as the timing and amount of any milestone or royalty payments we are required to make or are eligible to receive under such collaborations or our current licenses to which we establish additional strategic collaborations or other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of our product candidates could significantly change the costs and timing associated with the development of that product candidate.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general and administrative expenses consist primarily of personnel-related costs, legal and consulting services, including those relating to intellectual property and corporate matters, and allocated overhead, including software, computer supplies and accessories, insurance and other miscellaneous expenses. Personnel-related costs include salaries, annual bonuses, benefits, recruiting fees, travel and meal expenses and stock-based compensation for our general and administrative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increase substantially in the future as a result of expanding our operations, including hiring personnel, preparing for potential commercialization of our product candidates, and facility occupancy costs, as well as various incremental costs associated with operating as a public company. We expect that our costs will increase related to legal, audit, accounting fees, regulatory and tax-related services associated with maintaining compliance with exchange listing and SEC requirements, director and officer insurance costs, investor and public relations costs, and other expenses that we did not incur as a private company. We also expect to increase the size of our administrative function to support the growth of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primarily consists of interest income earned on our invested cash, cash equivalents and marketable securities. </w:t>
      </w:r>
    </w:p>
    <w:p>
      <w:pPr>
        <w:pStyle w:val="TextBody"/>
        <w:bidi w:val="0"/>
        <w:spacing w:before="360" w:after="283"/>
        <w:jc w:val="left"/>
        <w:rPr>
          <w:rFonts w:ascii="Times New Roman" w:hAnsi="Times New Roman"/>
          <w:sz w:val="2"/>
        </w:rPr>
      </w:pPr>
      <w:r>
        <w:rPr>
          <w:rFonts w:ascii="Times New Roman" w:hAnsi="Times New Roman"/>
          <w:i/>
          <w:color w:val="000000"/>
          <w:sz w:val="20"/>
        </w:rPr>
        <w:t>Change in Fair Value of Preferred Stock Tranche Liability</w:t>
      </w:r>
      <w:r>
        <w:rPr>
          <w:rFonts w:ascii="Times New Roman" w:hAnsi="Times New Roman"/>
          <w:color w:val="000000"/>
          <w:sz w:val="2"/>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Series A and Series B redeemable convertible preferred stock purchase agreements included contingent obligations for us to issue shares of Series A-2 redeemable convertible preferred stock and Series B redeemable convertible preferred stock, respectively, at future dates (the preferred stock tranche liabilities). The preferred stock tranche liabilities were determined to be freestanding instruments within the scope of ASC 480, </w:t>
      </w:r>
      <w:r>
        <w:rPr>
          <w:rFonts w:ascii="Times New Roman" w:hAnsi="Times New Roman"/>
          <w:i/>
          <w:color w:val="000000"/>
          <w:sz w:val="20"/>
        </w:rPr>
        <w:t>Distinguishing Liabilities from Equity</w:t>
      </w:r>
      <w:r>
        <w:rPr>
          <w:rFonts w:ascii="Times New Roman" w:hAnsi="Times New Roman"/>
          <w:color w:val="000000"/>
          <w:sz w:val="20"/>
        </w:rPr>
        <w:t xml:space="preserve"> that should be accounted for at fair value and remeasured at fair value each reporting period with changes recognized in the condensed consolidated statements of operations and comprehensive loss.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(in thousands): </w:t>
      </w:r>
    </w:p>
    <w:p>
      <w:pPr>
        <w:pStyle w:val="TextBody"/>
        <w:bidi w:val="0"/>
        <w:jc w:val="left"/>
        <w:rPr/>
      </w:pPr>
      <w:r>
        <w:rPr/>
        <w:t> </w:t>
      </w:r>
    </w:p>
    <w:tbl>
      <w:tblPr>
        <w:tblW w:w="8158" w:type="dxa"/>
        <w:jc w:val="left"/>
        <w:tblInd w:w="0" w:type="dxa"/>
        <w:tblLayout w:type="fixed"/>
        <w:tblCellMar>
          <w:top w:w="28" w:type="dxa"/>
          <w:left w:w="28" w:type="dxa"/>
          <w:bottom w:w="28" w:type="dxa"/>
          <w:right w:w="28" w:type="dxa"/>
        </w:tblCellMar>
      </w:tblPr>
      <w:tblGrid>
        <w:gridCol w:w="2836"/>
        <w:gridCol w:w="146"/>
        <w:gridCol w:w="216"/>
        <w:gridCol w:w="756"/>
        <w:gridCol w:w="170"/>
        <w:gridCol w:w="149"/>
        <w:gridCol w:w="216"/>
        <w:gridCol w:w="756"/>
        <w:gridCol w:w="166"/>
        <w:gridCol w:w="146"/>
        <w:gridCol w:w="211"/>
        <w:gridCol w:w="631"/>
        <w:gridCol w:w="166"/>
        <w:gridCol w:w="146"/>
        <w:gridCol w:w="202"/>
        <w:gridCol w:w="669"/>
        <w:gridCol w:w="57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we recognized collaboration revenue of $0.5 million related to the EndPath Agreement, compared to no collaboration revenue for the three months ended June 30, 2025. See Note 5 to our unaudited interim condensed consolidated financial statements included elsewhere in this Quarterly Report on Form 10-Q.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periods indicated (in thousands): </w:t>
      </w:r>
    </w:p>
    <w:p>
      <w:pPr>
        <w:pStyle w:val="TextBody"/>
        <w:bidi w:val="0"/>
        <w:jc w:val="left"/>
        <w:rPr/>
      </w:pPr>
      <w:r>
        <w:rPr/>
        <w:t> </w:t>
      </w:r>
    </w:p>
    <w:tbl>
      <w:tblPr>
        <w:tblW w:w="9479" w:type="dxa"/>
        <w:jc w:val="left"/>
        <w:tblInd w:w="0" w:type="dxa"/>
        <w:tblLayout w:type="fixed"/>
        <w:tblCellMar>
          <w:top w:w="28" w:type="dxa"/>
          <w:left w:w="28" w:type="dxa"/>
          <w:bottom w:w="28" w:type="dxa"/>
          <w:right w:w="28" w:type="dxa"/>
        </w:tblCellMar>
      </w:tblPr>
      <w:tblGrid>
        <w:gridCol w:w="3996"/>
        <w:gridCol w:w="146"/>
        <w:gridCol w:w="231"/>
        <w:gridCol w:w="741"/>
        <w:gridCol w:w="160"/>
        <w:gridCol w:w="160"/>
        <w:gridCol w:w="231"/>
        <w:gridCol w:w="741"/>
        <w:gridCol w:w="146"/>
        <w:gridCol w:w="146"/>
        <w:gridCol w:w="211"/>
        <w:gridCol w:w="571"/>
        <w:gridCol w:w="166"/>
        <w:gridCol w:w="146"/>
        <w:gridCol w:w="243"/>
        <w:gridCol w:w="628"/>
        <w:gridCol w:w="816"/>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manufacturing, and preclinical</w:t>
              <w:br/>
              <w: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consulting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 and other research and</w:t>
              <w:br/>
              <w:t>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overhead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$5.4 million, from $13.6 million for the three months ended June 30, 2025 to $18.9 million for the three months ended June 30, 2026. The increase was primarily attributable to higher clinical, manufacturing, and preclinical services of $4.8 million due to CRO and CMO development activities related to ATTO-1310, ATTO-2306, ATTO-3712 and ATTO-1091.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Personnel-related costs increased by $0.4 million, from $2.6 million for the three months ended June 30, 2025 to $2.9 million for the three months ended June 30, 2026, primarily due to an increase in headcount to support our programs.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$0.3 million, from $3.0 million for the three months ended June 30, 2025 to $3.3 million for the three months ended June 30, 2026. The increase was driven primarily by an increase in personnel-related costs due to higher headcount, together with higher legal, accounting, information technology and business development professional services to support our growth and our transition to operating as a public company.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decreased by $0.9 million, from $2.0 million for the three months ended June 30, 2025 to $1.1 million for the three months ended June 30, 2026, as a result of lower investment balances during the three months ended June 30, 2026 compared to the three months ended June 30, 2025. </w:t>
      </w:r>
    </w:p>
    <w:p>
      <w:pPr>
        <w:pStyle w:val="TextBody"/>
        <w:bidi w:val="0"/>
        <w:spacing w:before="36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(in thousands): </w:t>
      </w:r>
    </w:p>
    <w:p>
      <w:pPr>
        <w:pStyle w:val="TextBody"/>
        <w:bidi w:val="0"/>
        <w:jc w:val="left"/>
        <w:rPr/>
      </w:pPr>
      <w:r>
        <w:rPr/>
        <w:t> </w:t>
      </w:r>
    </w:p>
    <w:tbl>
      <w:tblPr>
        <w:tblW w:w="9381" w:type="dxa"/>
        <w:jc w:val="left"/>
        <w:tblInd w:w="0" w:type="dxa"/>
        <w:tblLayout w:type="fixed"/>
        <w:tblCellMar>
          <w:top w:w="28" w:type="dxa"/>
          <w:left w:w="28" w:type="dxa"/>
          <w:bottom w:w="28" w:type="dxa"/>
          <w:right w:w="28" w:type="dxa"/>
        </w:tblCellMar>
      </w:tblPr>
      <w:tblGrid>
        <w:gridCol w:w="4071"/>
        <w:gridCol w:w="146"/>
        <w:gridCol w:w="211"/>
        <w:gridCol w:w="736"/>
        <w:gridCol w:w="166"/>
        <w:gridCol w:w="146"/>
        <w:gridCol w:w="211"/>
        <w:gridCol w:w="736"/>
        <w:gridCol w:w="166"/>
        <w:gridCol w:w="146"/>
        <w:gridCol w:w="211"/>
        <w:gridCol w:w="676"/>
        <w:gridCol w:w="166"/>
        <w:gridCol w:w="146"/>
        <w:gridCol w:w="202"/>
        <w:gridCol w:w="669"/>
        <w:gridCol w:w="576"/>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preferred stock tranche</w:t>
              <w:br/>
              <w: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2026, we recognized collaboration revenue of $0.5 million related to the EndPath Agreement, all of which was recognized in the three months ended June 30, 2026, compared to no collaboration revenue for the six months ended June 30, 2025. See Note 5 to our unaudited interim condensed consolidated financial statements included elsewhere in this Quarterly Report on Form 10-Q.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periods indicated (in thousands): </w:t>
      </w:r>
    </w:p>
    <w:p>
      <w:pPr>
        <w:pStyle w:val="TextBody"/>
        <w:bidi w:val="0"/>
        <w:jc w:val="left"/>
        <w:rPr/>
      </w:pPr>
      <w:r>
        <w:rPr/>
        <w:t> </w:t>
      </w:r>
    </w:p>
    <w:tbl>
      <w:tblPr>
        <w:tblW w:w="9594" w:type="dxa"/>
        <w:jc w:val="left"/>
        <w:tblInd w:w="0" w:type="dxa"/>
        <w:tblLayout w:type="fixed"/>
        <w:tblCellMar>
          <w:top w:w="28" w:type="dxa"/>
          <w:left w:w="28" w:type="dxa"/>
          <w:bottom w:w="28" w:type="dxa"/>
          <w:right w:w="28" w:type="dxa"/>
        </w:tblCellMar>
      </w:tblPr>
      <w:tblGrid>
        <w:gridCol w:w="3996"/>
        <w:gridCol w:w="146"/>
        <w:gridCol w:w="228"/>
        <w:gridCol w:w="731"/>
        <w:gridCol w:w="158"/>
        <w:gridCol w:w="158"/>
        <w:gridCol w:w="228"/>
        <w:gridCol w:w="731"/>
        <w:gridCol w:w="146"/>
        <w:gridCol w:w="146"/>
        <w:gridCol w:w="211"/>
        <w:gridCol w:w="676"/>
        <w:gridCol w:w="146"/>
        <w:gridCol w:w="146"/>
        <w:gridCol w:w="294"/>
        <w:gridCol w:w="637"/>
        <w:gridCol w:w="816"/>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manufacturing, and preclinical</w:t>
              <w:br/>
              <w: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consulting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 and other research and</w:t>
              <w:br/>
              <w:t>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overhead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35,692</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$10.2 million, from $25.4 million for the six months ended June 30, 2025 to $35.7 million for the six months ended June 30, 2026. The increase was primarily attributable to the following: Clinical, manufacturing, and preclinical services increased by $8.7 million, from $17.2 million for the six months ended June 30, 2025 to $25.9 million for the six months ended June 30, 2026, primarily due to increased CRO and CMO activities related to the development of ATTO-1310, ATTO-2306, ATTO-3712 and ATTO-1091. Professional consulting services expense increased by $0.3 million to support the advancement and expansion of our pipeline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Personnel-related costs increased by $0.9 million primarily as a result of increased research and development headcount and higher stock-based compensation expense. Facilities and overhead costs increased primarily as a result of higher laboratory equipment depreciation expense and higher software subscription costs.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by $0.8 million, from $7.3 million for the six months ended June 30, 2025 to $6.5 million for the six months ended June 30, 2026. The decrease was primarily driven by a decrease in professional services and consulting expenses of $1.1 million due to lower legal, accounting and other professional services compared to the prior year period, which included the write-off of previously deferred offering costs, partially offset by an increase in personnel-related costs of $0.5 million as a result of higher headcount and higher stock-based compensation expense.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decreased by $0.7 million, from $3.2 million for the six months ended June 30, 2025 to $2.5 million for the six months ended June 30, 2026 as a result of lower investment balances during the six months ended June 30, 2026 compared to the six months ended June 30, 2025. </w:t>
      </w:r>
    </w:p>
    <w:p>
      <w:pPr>
        <w:pStyle w:val="TextBody"/>
        <w:bidi w:val="0"/>
        <w:spacing w:before="360" w:after="283"/>
        <w:jc w:val="left"/>
        <w:rPr>
          <w:rFonts w:ascii="Times New Roman" w:hAnsi="Times New Roman"/>
          <w:sz w:val="20"/>
        </w:rPr>
      </w:pPr>
      <w:r>
        <w:rPr>
          <w:rFonts w:ascii="Times New Roman" w:hAnsi="Times New Roman"/>
          <w:i/>
          <w:color w:val="000000"/>
          <w:sz w:val="20"/>
        </w:rPr>
        <w:t>Change in Fair Value of Preferred Stock Tranche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Series B preferred stock tranche liability was settled in January 2025 upon achievement of the Series B milestone. The remeasurement of the liability through settlement resulted in a loss of approximately $0.2 million loss during the six months ended June 30, 2025.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and have incurred significant operating losses and negative cash flows from our operations. Prior to our IPO, we primarily funded our operations from sales of shares of our redeemable convertible preferred stock in private placements.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$115.1 million in cash, cash equivalents and marketable securities. We will continue to require substantial additional capital in the future to support further development of our product candidates and maintain our operations. Until such time as we can generate significant revenue from product sales, if ever, we expect to raise additional capital through equity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financings, collaborations, licensing arrangements or other sources. We believe that our existing cash, cash equivalents and marketable securities, together with the net proceeds from our IPO, will be sufficient to fund our projected operating expenses and capital expenditure requirements for at least the next 12 months from the date of issuance of the unaudited interim condensed consolidated financial statements included elsewhere in this Quarterly Report on Form 10-Q. Based on our current operating plan, we estimate that our existing cash, cash equivalents and marketable securities as of June 30, 2026, together with the net proceeds from our IPO, will be sufficient to fund our projected operating expenses and capital expenditure requirements into 2030.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uses of cash are to fund our operations, which consist primarily of research and development expenditures related to our programs and, to a lesser extent, general and administrative expenditures. We anticipate that we will continue to incur significant and increasing expenses for the foreseeable future as we continue to advance our product candidates, further our research and development initiatives for our product candidates, expand our corporate infrastructure, including the costs associated with being a public company, and incur costs associated with potential commercialization. We are subject to all of the risks typically related to the development of new drug candidates, and we may encounter unforeseen expenses, difficulties, complications, delays and other unknown factors that may adversely affect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used to fund operating expenses is impacted by the timing of when we pay these expenses, as reflected in the change in our outstanding accounts payable, accrued expenses, and prepaid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funding requirements will depend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results of preclinical studies and clinical trials for ATTO-1310, ATTO-2306, ATTO-1091 or any future product candidates, including the costs of any third-party products used as combination agents in our combination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development of our ATTOBODY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develop, in-license or acquire any future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development requirements of any future product candidates that we may pursue, and other indications for our current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obtaining regulatory approvals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costs of making arrangements with third-party manufacturers, or establishing manufacturing capabilities, for both clinical and commercial supplies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our organization to the size needed to allow for the research, development and potential commercialization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commercializing any approved product candidates, including establishing sales, marketing, market access and distribution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pursue strategic collaborations, including collaborations to commercialize ATTO-1310, ATTO-2306, ATTO-1091 or any of our future product candidates, our ability to establish and maintain collaborations on favorable terms, if at all, as well as the timing and amount of any milestone or royalty payments we are required to make or are eligible to receive under such collaborations or our current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completing any post-marketing studies or trials required by FDA, or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ATTO-1310, ATTO-2306, ATTO-1091 or any of our future product candidates, if any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to pay out-of-pocket for any approved products in the absence of coverage and/or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clinical and preclinical activities increase;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potential product liability claims, including the costs associated with obtaining insurance against such claims and with defending against such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effects of competing technological and market developments as well as disruptions to and volatility in the credit and financial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operating plans may change, and we may need additional funds to meet operational needs and capital requirements for clinical trials and other research and development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that we can generate significant revenue from product sales, if ever, we expect to finance our operations through public or private equity or debt financing,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summarizes our cash flows for the periods indicated (in thousands): </w:t>
      </w:r>
    </w:p>
    <w:p>
      <w:pPr>
        <w:pStyle w:val="TextBody"/>
        <w:bidi w:val="0"/>
        <w:jc w:val="left"/>
        <w:rPr/>
      </w:pPr>
      <w:r>
        <w:rPr/>
        <w:t> </w:t>
      </w:r>
    </w:p>
    <w:tbl>
      <w:tblPr>
        <w:tblW w:w="7034" w:type="dxa"/>
        <w:jc w:val="left"/>
        <w:tblInd w:w="0" w:type="dxa"/>
        <w:tblLayout w:type="fixed"/>
        <w:tblCellMar>
          <w:top w:w="28" w:type="dxa"/>
          <w:left w:w="28" w:type="dxa"/>
          <w:bottom w:w="28" w:type="dxa"/>
          <w:right w:w="28" w:type="dxa"/>
        </w:tblCellMar>
      </w:tblPr>
      <w:tblGrid>
        <w:gridCol w:w="4366"/>
        <w:gridCol w:w="146"/>
        <w:gridCol w:w="211"/>
        <w:gridCol w:w="736"/>
        <w:gridCol w:w="166"/>
        <w:gridCol w:w="146"/>
        <w:gridCol w:w="211"/>
        <w:gridCol w:w="841"/>
        <w:gridCol w:w="21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used in operating activities was $34.9 million, consisting of a net loss of $39.3 million, partially offset by non-cash charges of $2.3 million and a decrease in net operating assets of $2.1 million. The net loss was primarily due to our operating expenses as we invest in our research and development efforts. The decrease in net operating assets was primarily due to an increase in accounts payable and a decrease in prepaid expenses and other current assets, partially offset by a decrease in accrued expenses and other current liabilities and a decrease in operating lease liability. Non-cash charges consisted primarily of stock-based compensation, non-cash lease expense and depreciation expenses, partially offset by net gain from accretion of net discounts on marketable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used in operating activities was $26.7 million, consisting of a net loss of $29.6 million, partially offset by non-cash charges of $1.3 million and a decrease in net operating assets of $1.6 million. The net loss was primarily due to our operating expenses as we invest in our research and development efforts. The decrease in net operating assets was primarily due to an increase in accounts payable and a decrease in prepaid expenses and other current assets, partially offset by a decrease in accrued expenses and other current liabilities. Non-cash charges consisted primarily of stock-based compensation, non-cash lease expenses, depreciation expenses, and write-off of deferred offering costs, partially offset by net gain from accretion of net discounts on marketable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provided by investing activities was $29.4 million, consisting of net proceeds from maturities of marketable securities of $29.7 million, partially offset by purchases of property and equipment of $0.4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used in investing activities was $103.5 million, consisting of net purchases of marketable securities of $101.6 million and purchases of property and equipment of $1.9 million. </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used in financing activities was $1.8 million, consisting primarily of payments of deferred offering costs.</w:t>
      </w:r>
    </w:p>
    <w:p>
      <w:pPr>
        <w:pStyle w:val="TextBody"/>
        <w:bidi w:val="0"/>
        <w:spacing w:before="240" w:after="283"/>
        <w:jc w:val="left"/>
        <w:rPr>
          <w:rFonts w:ascii="Times New Roman" w:hAnsi="Times New Roman"/>
          <w:sz w:val="2"/>
        </w:rPr>
      </w:pPr>
      <w:r>
        <w:rPr>
          <w:rFonts w:ascii="Times New Roman" w:hAnsi="Times New Roman"/>
          <w:color w:val="000000"/>
          <w:sz w:val="20"/>
        </w:rPr>
        <w:t>During the six months ended June 30, 2025, net cash provided by financing activities was $142.0 million, consisting primarily of $89.7 million in net proceeds from the issuance of our Series C redeemable convertible preferred stock net of issuance costs and $52.5 million in net proceeds from issuance of the second tranche of our Series B redeemable convertible preferred stock net of issuance costs, partially offset by payments of deferred offering costs of $0.4 million.</w:t>
      </w:r>
      <w:r>
        <w:rPr>
          <w:rFonts w:ascii="Times New Roman" w:hAnsi="Times New Roman"/>
          <w:color w:val="000000"/>
          <w:sz w:val="2"/>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Contractual Obligations and Other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milestones and royalty payments due to Alamar under the Alamar Platform License Agreement. Alamar is entitled to development and regulatory milestone payments of up to $0.8 million and $3.5 million, respectively, or up to $4.3 million in the aggregate per Product, as well as tiered royalties in low single digit percentages on net sales of Products. See Note 5 to our condensed consolidated financial statements included elsewhere in this Quarterly Report on Form 10-Q. We recorded $0.3 million as research and development expenses during the year ended December 31, 2025, related to the achievement of a development milestone for ATTO-3712. No other milestone payments were considered probable to occur as of June 30, 2026 and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entered into a lease for office, laboratory and storage space commencing on January 31, 2025, and expiring on June 30, 2028. Total future minimum lease commitments under the lease agreement as of June 30, 2026 are $4.7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 into contracts in the normal course of business with suppliers, CROs, CMOs, clinical trial sites, and similar service providers. These agreements provide for termination at the request of either party generally with less than one-year notice and, therefore, we believe that our non-cancellable obligations under these agreements are not material. We did not have any non-cancelable obligations under these agreements as of June 30, 2026 and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remaining research and development performance obligations under the EndPath Agreement, and we have recorded a customer deposit liability of $0.6 million as of June 30, 2026 and December 31, 2025 in respect of shares of EndPath common stock subject to repurchase. See Note 5 to our condensed consolidated financial statements included elsewhere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did not have any off-balance sheet arrangements, as defined under the rules and regulations of the SEC, as of June 30, 2026 and December 31, 2025.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condensed consolidated financial statements, which have been prepared in accordance with accounting principles generally accepted in the United States of America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On an ongoing basis, we evaluate our estimates and judgments, including but not limited to those related to accrued research and development costs and stock-based compensation expense, including the fair value of our common stock for periods prior to the completion of our IPO.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critical accounting policies are described under the heading “Management’s Discussion and Analysis of Financial Condition and Results of Operations—Critical Accounting Policies and Significant Judgments and Estimates” in our final prospectus for our IPO filed pursuant to Rule 424(b)(4) under the Securities Act with the SEC on August 5, 2026 and the notes to the unaudited condensed consolidated financial statements included in “Part I, Item 1 — Financial Statements” of this Quarterly Report on Form 10-Q. During the six months ended June 30, 2026, except as described in Note 2 to the unaudited interim condensed consolidated financial statements appearing elsewhere in this Quarterly Report on Form 10-Q, there were no material changes to our critical accounting policies from those discussed in our final prospectus filed on August 5, 2026.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description of recently issued accounting pronouncements that may potentially impact our financial position, results of operations or cash flows is disclosed in Note 2 to our unaudited condensed consolidated financial statements included elsewhere in this Quarterly Report on Form 10-Q. </w:t>
      </w:r>
    </w:p>
    <w:p>
      <w:pPr>
        <w:pStyle w:val="TextBody"/>
        <w:bidi w:val="0"/>
        <w:spacing w:before="360" w:after="283"/>
        <w:jc w:val="left"/>
        <w:rPr>
          <w:rFonts w:ascii="Times New Roman" w:hAnsi="Times New Roman"/>
          <w:sz w:val="20"/>
        </w:rPr>
      </w:pPr>
      <w:r>
        <w:rPr>
          <w:rFonts w:ascii="Times New Roman" w:hAnsi="Times New Roman"/>
          <w:b/>
          <w:color w:val="000000"/>
          <w:sz w:val="20"/>
        </w:rPr>
        <w:t>JOBS Act Transition Period and Emerging Growth Company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
        </w:rPr>
      </w:pPr>
      <w:r>
        <w:rPr>
          <w:rFonts w:ascii="Times New Roman" w:hAnsi="Times New Roman"/>
          <w:color w:val="000000"/>
          <w:sz w:val="20"/>
        </w:rPr>
        <w:t>We are an emerging growth company (EGC). The Jumpstart Our Business Startups Act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r>
        <w:rPr>
          <w:rFonts w:ascii="Times New Roman" w:hAnsi="Times New Roman"/>
          <w:color w:val="000000"/>
          <w:sz w:val="2"/>
        </w:rPr>
        <w:t xml:space="preserve"> </w:t>
      </w:r>
    </w:p>
    <w:p>
      <w:pPr>
        <w:pStyle w:val="TextBody"/>
        <w:bidi w:val="0"/>
        <w:spacing w:before="240" w:after="283"/>
        <w:jc w:val="left"/>
        <w:rPr>
          <w:rFonts w:ascii="Times New Roman" w:hAnsi="Times New Roman"/>
          <w:sz w:val="2"/>
        </w:rPr>
      </w:pPr>
      <w:r>
        <w:rPr>
          <w:rFonts w:ascii="Times New Roman" w:hAnsi="Times New Roman"/>
          <w:color w:val="000000"/>
          <w:sz w:val="20"/>
        </w:rPr>
        <w:t>We are also a smaller reporting company, as defined in Rule 12b-2 under the Securities Exchange Act of 1934, as amended (the Exchange Act). We will continue to be a smaller reporting company if either (i) the market value of our capital stock held by non-affiliates is less than $250.0 million or (ii) our annual revenue was less than $100.0 million during the most recently completed fiscal year and the market value of our capital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404(b) of the Sarbanes-Oxley Act and, similar to emerging growth companies, smaller reporting companies have reduced disclosure obligations regarding executive compensation.</w:t>
      </w:r>
      <w:r>
        <w:rPr>
          <w:rFonts w:ascii="Times New Roman" w:hAnsi="Times New Roman"/>
          <w:color w:val="000000"/>
          <w:sz w:val="2"/>
        </w:rPr>
        <w:t xml:space="preserve"> </w:t>
      </w:r>
    </w:p>
    <w:p>
      <w:pPr>
        <w:pStyle w:val="TextBody"/>
        <w:bidi w:val="0"/>
        <w:spacing w:before="360" w:after="283"/>
        <w:jc w:val="left"/>
        <w:rPr>
          <w:rFonts w:ascii="Times New Roman" w:hAnsi="Times New Roman"/>
          <w:sz w:val="20"/>
        </w:rPr>
      </w:pPr>
      <w:bookmarkStart w:id="11" w:name="item3_quantitative_qualitative_disclosur"/>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Rule 12b-2 under the Exchange Act and in Item 10(f)(1) of Regulation S-K, and are not required to provide the information otherwise required under this item.</w:t>
      </w:r>
    </w:p>
    <w:p>
      <w:pPr>
        <w:pStyle w:val="TextBody"/>
        <w:bidi w:val="0"/>
        <w:spacing w:before="36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evaluated the effectiveness of our disclosure controls and procedures, as defined in Rules 13a-15(e) and 15d-15(e) under the Exchange Act, as of June 30, 2026. Based on that evaluation, our Chief Executive Officer and our Chief Financial Officer concluded that, as of June 30, 2026, our disclosure controls and procedures were effective at the reasonable assurance level to ensure that information we are required to disclose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arising in the ordinary course of our business. We are not currently a party to any legal proceedings that, in the opinion of our management, are probable to have a material adverse effect on our business. Regardless of outcome, legal proceedings can have an adverse impact on us because of defense and settlement costs, diversion of resources, negative publicity, reputational harm and other factors.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Before deciding to invest in shares of our common stock, you should carefully consider the risks described below, together with the other information contained in this Quarterly Report on Form 10-Q, including our financial statements and the related notes and the section titled “Management’s Discussion and Analysis of Financial Condition and Results of Operations.”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adversely impact our business, financial condition, results of operations and prospects. If that were to happen, the trading price of our common stock could decline, and you could lose all or part of your investment. These disclosures reflect the Company’s beliefs and opinions as to factors that could materially and adversely affect the Company and its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Financial Position, Limited Operating History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not completed any clinical trials and have no products approved for commercial sale, which may make it difficult for investors to evaluate our business, likelihood of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early clinical-stage biopharmaceutical company with a limited operating history. We commenced operations in 2023, have no products approved for commercial sale and have never generated any product revenue. Drug development is a highly speculative undertaking and involves a substantial degree of risk. It entails substantial upfront capital expenditures and significant risk that any product candidate will fail to demonstrate adequate efficacy or an acceptable safety profile, gain regulatory approval or become commercially viable. To date, we have devoted substantially all of our resources to identifying, acquiring and developing our product candidates and licensed technologies, building our pipeline, conducting preclinical studies and early-stage clinical trials,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yet demonstrated an ability to successfully complete any clinical trials, including for our product candidates, ATTO-1310, ATTO-2306 and ATTO-1091, obtain regulatory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encounter unforeseen expenses, difficulties, complications, delays and other known and unknown factors and risks frequently experienced by clinical-stage biopharmaceutical companies developing targeted therapeutic candidates for immune-mediated diseases.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operating losses since our inception and have not generated any product revenue. We expect to incur significant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in each reporting period since our inception, have not generated any product revenue to date and have financed our operations principally through sales of our redeemable convertible preferred stock and our common stock. For the years ended December 31, 2025 and 2024, we reported a net loss of $60.6 million and $39.8 million, respectively, and for the six months ended June 30, 2026 and 2025, we reported a net loss of $39.3 million and $29.6 million, respectively. We had an accumulated deficit of $150.4 million as of June 30, 2026. There is no assurance that we will obtain financing from other sources, or that we will be able to obtain such financing on favorable terms, if at all. Substantially all of our losses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resulted from expenses incurred in connection with the development and in-licensing of intellectual property related to our pipeline of biotherapeutics, the research and development of ATTO-1310, ATTO-2306, and ATTO-1091, and from general and administrative costs associated with our operations. We expect to incur increasing levels of operating losses for the foreseeable future, particularly as we advance ATTO-1310, ATTO-2306, and ATTO-1091 through clinical development. Our prior losses have had, and combined with expected future losses will continue to have, an adverse effect on our stockholders’ equity and working capital. We expect our research and development expenses to significantly increase in connection with our ongoing and planned clinical trials for ATTO-1310 and our planned clinical trial for ATTO-2306, and in connection with preclinical development and potential future clinical development of and other product candidates, including ATTO-1091. In addition, if we obtain regulatory approval for ATTO-1310, ATTO-2306, and ATTO-1091 or any future product candidates, we will incur significant sales, marketing, manufacturing and distribution expenses in connection with the commercialization of ATTO-1310, ATTO-2306, ATTO-1091 or any other future product candidates. We may never succeed in these activities and, even if we do, we may never generate any revenue or revenue that is significant enough to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expect to continue to incur significant and increasing net losses for the foreseeable future. Because of the numerous risks and uncertainties associated with developing therapeutic products, we are unable to predict the extent of any future losses or when we will become profitable, if at all. To become and remain profitable, we must succeed in discovering, developing, obtaining regulatory approvals for, and eventually commercializing products that generate significant revenue. We are only in the preliminary stages of these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on the results of any quarterly or annual periods as indications of future operating performance. If we fail to become and remain profitable, there may be an adverse effect on the value of our company which could impair our ability to raise capital, expand our business, maintain our research and development efforts, diversify our product candidate pipeline, achieve our strategic objectives or even continue our operations. A decline in the value of our company could also cause you to lose all or part of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therapeutic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product candidates, ATTO-1310, ATTO-2306 and ATTO-1091, and any future product candidates through clinical development. We expect increased expenses as we continue our research and development, continue our ongoing clinical trials, initiate additional clinical trials, seek to expand our product pipeline and clinical applications, seek regulatory approval for our current and future product candidates, and invest in our organization. In addition, if we obtain regulatory approval for any of our product candidates, we expect to incur significant commercialization expenses related to product manufacturing, marketing, sales and distribution. Furthermore, we incur additional costs associated with operating as a public company. Accordingly, we will need to obtain substantial additional funding in connection with our continuing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had $115.1 million in cash, cash equivalents and marketable securities as of June 30, 2026. Based on our current operating plan, we estimate that our existing cash, cash equivalents and marketable securities as of June 30, 2026, together with the net proceeds from our IPO, will be sufficient for us to fund our operations into 2030.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be dependent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timing and results of preclinical studies and clinical trials for ATTO-1310, ATTO-2306, ATTO-1091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development of our ATTOBODY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develop, in-license, out-license or acquire any future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development requirements of any future product candidates that we may pursue, and other indications for our current product candidates that we may pursue;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obtaining regulatory approvals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making arrangements with third-party manufacturers, or establishing manufacturing capabilities, for both clinical and commercial supplies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growing our organization to the size needed to allow for the research, development and potential commercialization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commercializing any approved product candidates, including establishing sales, marketing, market access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we pursue strategic collaborations, including collaborations to commercialize ATTO-1310, ATTO-2306, ATTO-1091 or any of our future product candidates, our ability to establish and maintain collaborations on favorable terms, if at all, as well as the timing and amount of any milestone or royalty payments we are required to make or are eligible to receive under such collaborations or our current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completing any post-marketing studies or trials required by the FDA, or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ATTO-1310, ATTO-2306, ATTO-1091 or any of our future product candidates, if any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product liability claims, including the costs associated with obtaining insurance against such claims and with defending against such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require additional capital to complete our planned preclinical studies and clinical trials for our current product candidates to obtain regulatory approval, and we anticipate needing to raise additional capital to complete the development of, and eventually commercialize, our product candidates, if approved. Adequate additional financing may not be available to us on favorable terms, or at all. Our ability to raise additional funds will be dependent on financial, economic and market conditions, geopolitical issues and other factors, over which we may have limited or no control. In addition, we may seek additional capital due to favorable market conditions or strategic considerations even if we believe we have sufficient funds for our current or future operating plans. If adequate funds are not available on commercially acceptable terms when needed, we may be forced to delay, reduce or terminate the development or commercialization, if approved, of all or part of our research programs or product candidates or we may be unable to take advantage of future business opportunities, including pursuing new in-licenses and acquisitions. Furthermore, any additional capital-raising efforts may divert our management from their day-to-day activities, which may adversely affect our ability to develop and commercialize our current and any future product candidates, if approved. Changing circumstances, some of which may be beyond our control, could cause us to consume capital significantly faster than we currently anticipate, and we may need to seek additional funds sooner than planned.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be required to obtain further funding through public or private equity financings, debt financings, collaboration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or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If we raise additional funds through upfront payments or milestone payments pursuant to strategic collaborations with third parties, we may have to relinquish valuable rights to our product candidates or grant licenses on terms that are not favorable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failure to raise capital as and when needed or on acceptable terms could significantly harm our business, financial condition, results of operations and prospects and cause the price of our common stock to decline, and we may have to delay, reduce the scope of, suspend or eliminate one or more of our research or drug development programs, preclinical studies, clinical trials or future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Research, Discovery, Development, Regulatory Approval and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product candidates, ATTO-1310, ATTO-2306 and ATTO-1091. If we are unable to advance the development of, receive regulatory approval for, and ultimately successfully commercialize ATTO-1310, ATTO-2306 or ATTO-1091,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is highly dependent on our ability to timely complete successful clinical trials, obtain regulatory approval for, and then successfully commercialize, our product candidates, ATTO-1310, ATTO-2306 and ATTO-1091, which may never occur. We are early in our Phase 1 clinical development efforts with respect to ATTO-1310, and ATTO-2306 and ATTO-1091 are still in preclinical development. Our other potential product candidates are also in earlier stages of development. We currently have no products that are approved for sale in any jurisdiction. We have invested substantially all of our efforts and financial resources in ATTO-1310, ATTO-2306 and ATTO-1091 and conducting preclinical studies and clinical trials. There can be no assurance that ATTO-1310, ATTO-2306, ATTO-1091 or any future product candidates we develop will achieve success in their clinical trials or obtain regulatory approval. In the future, we may also become dependent on other product candidates that we may develop or acquire; however, given our early stage of development, it may be several years, if at all, before we have demonstrated the safety and efficacy of a treatment sufficient to warrant approval for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generate product revenue, which we do not expect will occur for many years, if ever, will be heavily dependent on the successful development and eventual commercialization of our product candidates, ATTO-1310, ATTO-2306 and ATTO-1091, and the development of additional product candidates on our ATTOBODY platform. The success of ATTO-1310, ATTO-2306 and ATTO-1091 and any additional product candidates will be dependent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completion of successful current and future preclinical studies and clinical trials resulting in attractive, competitive target product profiles;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INDs by the FDA or other similar clinical trial applications from comparable foreign regulatory authorities for our future clinical trials for our pipeline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successful enrollment of patients in, and timely and successful completion of,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enroll adequate subjects to allow the results to be generalizable to the U.S.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adverse events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BLAs by the FDA or other similar regulatory authorities, including the completion of any required post-marketing studies or trials and available funding to perform any post-marketing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of and commercialize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expanding and protecting our patent, trade secret and other intellectual property and regulatory exclusivity for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arrangements with third-party manufacturers, or establishing manufacturing capabilities, for both clinical and commercial supplies of our current and future product candidates and ensuring a resilient, effective supply chain that produces supply that outpaces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implementing marketing and reimbursement strategies, and creating adequate demand forecasts for supply and sales planning;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and launching commercial sales of our products, if and when approved, whether alone or in collaboration with others in a market where promotional sales approaches are rapidly moving to digital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demonstration of safety, purity and potency, and acceptable risk-benefit profiles of our product candidates to the satisfaction of the FDA and comparable foreign regulatory authorities and attractive to physicians, patients, advocates, payors and caregivers;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our products, if and when approved, by patients, the medical community and third-party payors underpinned by adequate health economic data and a meaningful value proposition;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existing and future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third-party payor coverage and adequate reimbursement in both public and private payor spaces;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appropriate support from patient advocacy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delays in our clinical trials resulting from any major natural disasters, health pandemics or significant political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products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the results of our ongoing clinical trial of ATTO-1310 show unexpected adverse events or a lack of efficacy in the indications we intend to treat, do not meet the clinical endpoints or if we experience other regulatory or developmental issues.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Drug development is a lengthy and expensive process, the outcome of clinical testing is inherently uncertain, and results of earlier preclinical studies and clinical trials may not be predictive of future clinical trial results. We may incur additional costs or experience delays in completing, or ultimately be unable to complete, the development and commercialization of ATTO-1310, ATTO-2306, ATTO-1091 and any future product candidates for many reasons, including a failure to replicate positive results from earlier preclinical studies or clinical trials in ongoing or future preclinical studies 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ATTO-1310 is in Phase 1 clinical development, and ATTO-2306 and ATTO-1091 are in preclinical development. The risk of failure is high for preclinical and early clinical-stage product candidates. We will need to file INDs for ATTO-2306 and ATTO-1091 before they can be tested in clinical trials. It is impossible to predict when or if ATTO-1310, ATTO-2306, ATTO-1091 or any future product candidates will receive regulatory approval. To obtain the requisite regulatory approvals to commercialize any product candidate, we must demonstrate through extensive preclinical studies and lengthy, complex and expensive clinical trials that our product candidates are safe, pure and potent, which includes clinical effectiveness, in humans. Clinical testing can take many years to complete, and its outcome is inherently uncertain. Failure can occur at any time during the clinical trial process. The results of preclinical studies and early clinical trials of ATTO-1310, ATTO-2306, ATTO-1091 or any future product candidates, or a competitor’s product candidate in the same class, may not be predictive of the results of later-stage clinical trials. For example, as is common for early trials, in our Phase 1b clinical trial of ATTO-1310, we looked at a number of exploratory efficacy measures, including by pooling results from different dose groups and without accounting for multiplicity. Accordingly, it is possible that positive results, including statistically significant results observed in our Phase 1b clinical trial, will not be replicated in our future clinical trials with different designs and greater number of patients. We may be unable to establish benefit on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regulatory approval of their products. A number of companies in the biopharmaceutical industry have suffered significant setbacks in advanced clinical trials due to lack of efficacy or to unfavorable safety profiles, notwithstanding promising results in earlier trials. There is typically a high rate of failure of product candidates proceeding through clinical trials, particularly in the earlier stages of development. Most product candidates that commence clinical trials are never approved as products and there can be no assurance that any of our future clinical trials will ultimately be successful or support clinical development of ATTO-1310, ATTO-2306, ATTO-1091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some of our planned clinical trials utilize, or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delays in initiating or completing clinical trials. We also may experience numerous unforeseen events during, or as a result of, any future clinical trials that we could conduct that could delay or prevent our ability to receive regulatory approval or commercialize ATTO-1310, ATTO-2306, ATTO-1091 or any future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institutional review boards (IRBs) or ethics committees may not authorize us or our investigators to commence a clinical trial or conduct a clinical trial at a prospective trial site, or may halt or suspend an ongoing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deviating from the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any product candidates may fail to show safety or efficacy, produce negative or inconclusive results and we may decide, or regulatory authorities may require us, to conduct additional preclinical studies or clinical trials or we may decide to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elect, or regulatory authorities,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any of ATTO-1310, ATTO-2306, ATTO-1091 or any future product candidates may be greater than we anticipate, and we may not have sufficient funds to complete such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quality of ATTO-1310, ATTO-2306, ATTO-1091 or any future product candidates or other materials necessary to conduct clinical trials of ATTO-1310, ATTO-2306, ATTO-1091 or any future product candidates may be inadequate to initiate or complete a given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manufacture sufficient quantities of ATTO-1310, ATTO-2306, ATTO-1091 or any future product candidates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meet drug specifications suitable for use in clinical trials and commercial applications, including the development and validation of a potency assay to ensure that the characteristics of the product released are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reports from clinical testing of other therapies may raise safety or efficacy concerns about ATTO-1310, ATTO-2306, ATTO-1091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of feedback from regulatory authorities that requires us to modify the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establish an appropriate safety profile for a product candidate based on clinical or preclinical data for such product candidate as well as data emerging from other therapies in the same class as ATTO-1310, ATTO-2306, ATTO-1091 or any future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comparable foreign regulatory authorities may require us to submit additional data such as long-term toxicology studies or impose other requirements before permitting us to initiate a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the IRBs overseeing the institutions in which such trials are being conducted, or the FDA or other comparable regulatory authorities, or if a clinical trial is recommended for suspension or termination by the Data Safety Monitoring Board (DSMB) for such trial. A suspension or termination may be imposed due to a number of factors, including failure to conduct the clinical trial in accordance with regulatory requirements, including the FDA’s Good Clinical Practice (GCP) regulations, or our clinical protocols, inspection of the clinical trial operations or trial site by the FDA or other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approval of ATTO-1310, ATTO-2306, ATTO-1091 or any future product candidates. Further, the FDA or other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with any certainty the schedule for commencement and completion of future clinical trials. Further, conducting clinical trials in foreign countries, as we have done and may do in the future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our current or future product candidates beyond those that we currently contemplate, if we are unable to successfully complete clinical trials of our current or future product candidates or other testing in a timely manner, if the results of these trials or tests are not positive or are only modestly positive or if there are safety concerns, we may incur unplanned costs, be delayed in seeking and obtaining regulatory approval, if we receive such approval at all, receive more limited or restrictive regulatory approval, be subject to additional post-marketing testing requirements or have the product removed from the market after obtaining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the results of our clinical trials are inconclusive or if there are safety concerns or serious adverse events associated with our product candidates,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regulatory approval,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 or may have restricted duration expectations or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perform additional clinical trials to support approval or be subject to additional post-marketing testing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regulatory authorities withdraw or suspend their approval of the product or impose restrictions on its distribution in the form of a Risk Evaluation and Mitigation Strategy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the addition of labeling statements, such as warnings or contraindications;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sued;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drug development costs will also increase if we experience delays in testing or obtaining regulatory approvals. Also, delays in obtaining regulatory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our current or any future product candidates could be negatively impacted, and our ability to generate revenues from our current or future product candidates may be delayed or eliminated entirely.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therapeutic biologics, including those being developed by our competitors, that may be approved for the indications being investigated by us, and patients’ inability to complete treatment due to illness or other events. In addition, some of our competitors currently have ongoing clinical trials for product candidates that would treat the same patients as ATTO-1310, ATTO-2306, and ATTO-1091, and patients who would otherwise be eligible for our clinical trials may instead enroll in clinical trials of our competitors’ product candidates. Furthermore, we expect to rely on our collaborators, CROs and clinical trial sites to ensure the proper and timely conduct of our future clinical trials, including the patient enrollment process, and we have limited influence over their performance. Additionally, we could encounter delays if treating physicians face unresolved ethical issues associated with enrolling patients in future clinical trials of ATTO-1310, ATTO-2306, ATTO-1091 or any future product candidates in lieu of prescribing existing treatments that have established safety and efficacy profiles.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initiate or continue our ongoing or planned clinical trials for our current or future product candidates if we are unable to identify and enroll a sufficient number of eligible patients to participate in these trials as required by the FDA or comparable foreign regulatory authorities. We cannot be certain (i) how many patients will meet our criteria for inclusion in our clinical trials, (ii) that the number of patients enrolled in each program will suffice for marketing authorization or (iii) whether the indication targeted will be included in the approved product labeling. If our strategies for patient identification and enrollment prove unsuccessful, we may have difficulty enrolling or maintaining patients appropriate for our product candidates. Patient enrollment is also affected by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clinical trial investigators of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incidence and prevalence of our target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awareness of, and perceptions as to, the potential advantages and risks of our product candidates in relation to other available therapies, including any new products that may be approved for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expertise, dedication and selection of CROs, to manage operations related to clinical trial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competing studies or trials with similar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invasive procedures required to enroll patients and to obtain evidence of the product candidate’s performance during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medications for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defined in the protocol for the trial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patient population required for analysis of the trial’s primary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are subject to a partial or full clinical hold on any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reluctance of physicians or patient advocacy organizations to encourage patient participation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patient consents;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proximity and availability of clinical trial sites for prospective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enroll a sufficient number of patients for our clinical trials, it would result in significant delays or might require us to abandon one or more clinical trials altogether. Even if we are able to enroll a sufficient number of patients for our clinical trials, we may have difficulty maintaining patients in our clinical trials. Many of the patients who end up receiving placebo may perceive that they are not receiving the product candidate being tested, and they may decide to withdraw from our clinical trials to pursue other alternative therapies rather than continue the trial with the perception that they are receiving placebo. Enrollment delays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clinical trials may result in increased development costs for ATTO-1310, ATTO-2306, ATTO-1091 or any future product candidates, slow down or halt our product candidate development and approval process and jeopardize our ability to seek and obtain the regulatory approval required to commence product sales and to generate revenue, which would cause our stock price to decline and limit our ability to obtain additional financing, if needed.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Adverse side effects or other safety risks associated with ATTO-1310, ATTO-2306, ATTO-1091 or any future product candidates we may develop could delay or preclude approval, cause us to suspend or discontinue clinical trials or abandon further development, limit the commercial profile of an approved product, or result in significant negative consequences following regulatory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treatment-related serious adverse events or unexpected serious adverse reactions suspected to be associated with the use of ATTO-1310, ATTO-2306, ATTO-1091 or any future product candidates. Our clinical trials may reveal significant adverse events not seen in our preclinical studies or prior clinical trials and may result in a safety or tolerability profile that could delay or prevent regulatory approval or market acceptance of ATTO-1310, ATTO-2306, ATTO-1091 or any future product candidates. Undesirable or clinically unmanageable side effects observed in our clinical trials for our product candidates could occur and cause us or regulatory authorities to interrupt, delay or halt our clinical trials and could result in more restrictive labeling than anticipated or the delay or denial of regulatory approval by the FDA or comparable foreign regulatory authorities. If additional adverse events, serious adverse events (SAEs) or other side effects are observed in any of our clinical trials that are atypical of, or more severe than, the known side effects of the respective class of agents that each of our product candidates are a part of, we may have difficulty recruiting participants to our clinical trials, participants may drop out of our trials, or we may be required to abandon those trials or our development efforts of one or more product candidates altogether.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 Undesirable or clinically unmanageable side effects observed in our clinical trials for our product candidates could also occur following discontinuation of ATTO-1310, ATTO-2306, ATTO-1091, or any future product candidates with sufficient recovery periods, and we will need to monitor the severity and duration of side effects in our clinical trials. If such effects are more severe, less reversible than we expect or not reversible at all, we may decide or be required to perform additional studies or to halt or delay further clinical or preclinical development of ATTO-1310, ATTO-2306, or ATTO-1091, as applicable, or any future product candidates, which could result in the delay or denial of regulatory approval by the FDA or other comparable foreign regulatory authorities. Adverse events and SAEs that emerge during clinical investigation of or treatment with ATTO-1310, ATTO-2306, ATTO-1091 or any future product candidates may be deemed to be related to our product candidates. 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This may require longer and more extensive clinical development, or regulatory authorities may increase the amount of data and information required to approve, market or maintain approval for ATTO-1310, ATTO-2306, ATTO-1091 or future product candidates and could result in warnings and precautions in our product labeling or a restrictive REMS. This may also result in an inability to obtain approval of ATTO-1310, ATTO-2306, ATTO-1091 or future product candidates. We, the FDA or other comparable foreign regulatory authorities or an IRB or ethics committee may suspend clinical trials of a product candidate at any time for various reasons, including a belief that participants in such trials are being exposed to unacceptable health risks or adverse side effects. Even if the side effects do not preclude a product candidate from obtaining or maintaining regulatory approval, undesirable side effects may inhibit market acceptance of such approved product due to its tolerability versus other therapies. Further, it is possible that, as we test our product candidates in larger, longer and more extensive clinical trials, including with different dosing regimens, or as the use of our drug candidates becomes more widespread following any regulatory approval, illnesses, injuries, discomforts and other adverse events that were observed in earlier trials, as well as conditions that did not occur or went undetected in previous trials, will be reported by patients. Any of these developments could materially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Preliminary, topline or interim data from our clinical trials that we announce or publish from time to time may change as more patient data become available and/or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topline or interim data from our clinical trials, such as preliminary, topline or interim data analysis from our ongoing Phase 1 clinical trial for ATTO-1310. These data and related findings and conclusions may only reflect certain endpoints rather than all endpoints and are subject to change.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Preliminary or topline data also remain subject to review and verification procedures that may result in the final data being materially different from the preliminary or topline data we previously published. As a result, preliminary and topline data should be viewed with caution until the final data are available. In addition, we may report preliminary data or interim analyses of the clinical trials we may conduct and complete, which are subject to the risk that one or more of the clinical outcomes may materially change as patient enrollment continues and more patient data become available. Adverse changes between preliminary or interim data and final data could significantly harm our business and prospects. Further, additional disclosure of preliminary or interim data by us, including, for example, preliminary or interim data that become available to us from our ongoing Phase 1 clinical trial for ATTO-1310 or by our competitors in the future could result in volatility in the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topline or interim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incidence and prevalence for target patient populations of one or more of our current product candidates have not been established with precision. If the market opportunities for our current or future product candidates are smaller than we estimate or if any approval that we may obtain is based on a narrower definition of the patient population, our revenue and ability to achieve profitability will be adversely affected, possibly materially.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projections of the number of people who have atopic dermatitis (AD), chronic pruritus of unknown origin (CPUO), as well as other immune-mediated diseases we are targeting, and who have the potential to benefit from treatment with ATTO-1310, ATTO-2306, ATTO-1091 or any of our future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 indications that we are targeting. The potentially addressable patient population for ATTO-1310, ATTO-2306, ATTO-1091 or any of our future product candidates may be more limited than we currently estimate or may not be amenable to treatment with such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expend our limited resources to pursue a particular product candidate in specific indications and fail to capitalize on product candidates or indications that may be more profitable or for which there is a greater likelihood of success. Because we have limited financial and managerial resources, we focus our development efforts on certain selected product candidates in certain selected indications. For example, we are initially focused on ATTO-1310 and ATTO-2306 for the treatment of immune-mediated diseases and ATTO-1091 for the treatment of IBD. As a result, we may forgo or delay pursuit of opportunities with other product candidates, or other indications for our current or any future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conducting, and may in the future conduct, clinical trials for current or future product candidates outside the United States, and the FDA and comparable foreign regulatory authorities may not accept data from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conducting, and may in the future conduct, clinical trials for current or future product candidates outside the United States, and the FDA and comparable foreign regulatory authorities may not accept data from such trials. We are currently conducting clinical trials in Canada, and we expect to continue to conduct trials internationally in the future. The acceptance of data from clinical trials conducted outside the United States by the FDA or other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unless (i) the data are applicable to the U.S. population and U.S. medical practice and (ii) the trials were performed by clinical investigators of recognized competence and pursuant to GCP regulations, and the data may be considered valid without the need for an on-site inspection by the FDA or, if the FDA considers such an inspection to be necessary, the FDA is able to validate the data through an on-site inspection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GCPs and the FDA is able to validate the data from the study through an onsite inspection if deemed necessary.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Conducting clinical trials outside the United States also exposes us to additional risks, including risks associated with foreign exchange fluctuations, compliance with foreign manufacturing, customs, shipment and storage requirements, and cultural differences in medical practice and clinical research, and diminished protection of intellectual property in some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the FDA or any comparable foreign regulatory authority will accept data from trials conducted outside of the United States or the applicable jurisdiction. For example, for FDA acceptance, we will have to demonstrate that the foreign data are applicable to the U.S. population and U.S. medical practice. If the FDA or other comparable foreign regulatory authorities do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in the future, we are unable to establish sales and marketing capabilities or enter into agreements with third parties to sell and market any product we may develop, we may not be successful in commercializing those products if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 sales or marketing infrastructure and have no experience in the sales, marketing or distribution of any current or future product candidates. To achieve commercial success for any approved product, we must either develop a sales and marketing organization or outsource these functions to third parties. In the future and if any of our product candidates are approved, we may choose to build a focused sales, marketing and commercial support infrastructure to sell, or participate in sales activities with collaborators for some of our current or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risks involved with both establishing our own commercial capabilities and entering into arrangements with third parties to perform these services. For example, factors that may inhibit our efforts to commercialize any approved product candidates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recruit and retain adequate numbers of effective sales, marketing, coverage or reimbursement, customer service, medical affairs and other support personnel; the inability of sales personnel to obtain access to or persuade adequate numbers of decision makers of the utility of future approved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reimbursement professionals to negotiate arrangements for formulary access, reimbursement and other acceptance by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price any of our current or future product candidates at a sufficient price point to ensure an adequate and attractive level of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or closed distribution channels that make it difficult to distribute our current or future product candidates to segments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 candidates to be offered by sales personnel, which may put us at a competitive disadvantage relative to companies with more extensive product candidate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commercialization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commercial launch of a product candidate, if approved,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enter into arrangements with third parties to perform sales, marketing, commercial support and distribution services, our sales revenue or the profitability of sales revenue may be lower than if we were to do so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we will not be successful in commercializing our product candidates,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or future product candidates may not achieve adequate market acceptance among physicians, patients or their families, healthcare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current or future product candidates receive regulatory approval, they may not gain adequate market acceptance among physicians, patients or their families, third-party payors and others in the medical community. The degree of market acceptance of any of our approved product candidates will be dependent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durability and safety profile as demonstrated in clinical trials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a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use of product candidates in the labeling approved by regulatory authorities, such as boxed warnings or contraindications in labeling, or a REMS, if any, which may not be required of alternative treatments and competitor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our current or future product candidates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 and the cost/benefit ratios of each;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by third-party payors, including government authorities, and timing of relevant formulary decision-making resulting in this coverage and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an approved product candidate for use as a combination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in relation to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marketing efforts and market access;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publicity relating to our product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liability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new therapies for the same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current or future product candidates are approved but do not achieve an adequate level of acceptance by physicians, hospitals, healthcare payors and patients, we may not generate or derive sufficient revenue from that product candidate and our financial results could be negatively impacted. Our efforts to educate the medical community and third-party payors regarding the benefits of our products may require significant resources and may never be successful.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product candidates do not achieve projected development milestones or commercialization in the announced or expected timeframes, the further development or commercialization of such product candidates may be delayed, and our business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estimated, and may in the future estimate, the timing of the accomplishment of various scientific, clinical, manufacturing, regulatory and other product development objectives. These milestones have and may include our expectations regarding the commencement or completion of preclinical studies and clinical trials, data readouts, the submission of regulatory filings, the receipt of marketing approval or the realization of other commercialization objectives. The achievement of many of these milestones may be outside of our control. All of these milestones are based on a variety of assumptions, including assumptions regarding capital resources, constraints and priorities, progress of and results from development activities and the receipt of key regulatory approvals or actions, any of which may cause the timing of achievement of the milestones to vary considerably from our estimates. If we or our collaborators fail to achieve announced milestones in the expected timeframes, the commercialization of the product candidates may be delayed, our credibility may be undermined, our business and results of operations may be harmed and the trading price of our common stock may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and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performance is dependent on our ability to retain key employees and to attract, retain and motivate qualified personnel and manage our 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biotechnology and biopharmaceutical industries is largely dependent on our ability to attract, motivate and retain highly qualified managerial, clinical, quality control, scientific and medical personnel. We are highly dependent on the development and management expertise of our executive officer team. We currently do not maintain “key person” life insurance on these individuals or any of our employees. This lack of insurance means that we may not have adequate compensation for the loss of the services of these individuals. The loss of one or more members of our management team or other key employees or advisors could delay our research and development programs and have a material and adverse effect on our business, financial condition, results of operations and prospects. We are dependent on the continued service of our technical personnel, because of the highly technical nature of ATTO-1310, ATTO-2306 and ATTO-1091 or any future product candidates and technologies, and the specialized nature of the regulatory approval process. Because our management team and key employees are not obligated to provide us with continued service, they could terminate their employment with us at any time without penalty.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primarily conduct our in-person operations at our corporate headquarters and research and development facility in San Carlos, California. This region is headquarters to many other biopharmaceutical companies and academic and research institutions. Competition for skilled personnel in our market, and nationally, is intense and may limit our ability to hire and retain highly qualified personnel on acceptable terms or at all. We also face competition for personnel from other companies, universities, public and private research institutions, government entities and other organizations. Our industry has experienced a high rate of turnover of management personnel in recent years. Our future performance will be dependent in large part on our continued ability to attract and retain highly qualified scientific, technical and management personnel, as well as personnel with expertise in clinical testing, manufacturing, governmental regulation and commercialization. If we are unable to continue to attract and retain high-quality personnel, the rate and success at which we can discover and develop product candidates will be limited, which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future growth may be dependent, in part, on our ability to operate in foreign markets, where we would be subject to additional regulatory burdens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growth may be dependent, in part, on our ability to develop and commercialize ATTO-1310, ATTO-2306 and ATTO-1091, if approved, and any future product candidates in foreign markets for which we may rely on collaboration with third parties. We are not permitted to market or promote ATTO-1310, ATTO-2306, ATTO-1091 or any future product candidates before we receive regulatory approval from the applicable regulatory authority in that foreign market and may never receive such regulatory approval for ATTO-1310, ATTO-2306, ATTO-1091 or any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ATTO-1310, ATTO-2306, ATTO-1091 or any future product candidates, and we cannot predict success in these jurisdictions. If we fail to comply with the regulatory requirements in international markets and receive applicable regulatory approvals, our target market will be reduced and our ability to realize the full market potential of ATTO-1310, ATTO-2306, ATTO-1091 or any future product candidates will be harmed and our business will be adversely affected. We may not obtain foreign regulatory approvals on a timely basis, if at all. Our failure to obtain approval of any of ATTO-1310, ATTO-2306, ATTO-1091 or any future product candidates by regulatory authorities in another country may significantly diminish the commercial prospects of that product candidate and our business, financial condition, results of operations and prospects could be materially and adversely affected. Moreover, even if we obtain approval of ATTO-1310, ATTO-2306, ATTO-1091 or any future product candidates and ultimately commercialize ATTO-1310, ATTO-2306, ATTO-1091 or any future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expect to expand our development, clinical and regulatory capabilities and operations as we grow, and as a result,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44 full-time employees. We expect to increase the number of our employees and the scope of our operations, particularly in the areas of clinical development, clinical operations, manufacturing, late-stage regulatory affairs, finance, accounting, management information systems, business operations, public company compliance, communications and other corporate development functions, and, if ATTO-1310, ATTO-2306, ATTO-1091 or any of our future product candidates receive regulatory approval, sales, marketing and distribution capabilities. If we acquire additional product candidates or enter into future collaborations, we may have to further expand our employee base beyond our current projections, which may include further preclinical research and development or later-stage regulatory operations.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As our operations expand, we also expect that we will need to manage additional relationships with various strategic partners, suppliers and other third parties. The expansion of our operations may lead to significant costs and may divert our management and business development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able to effectively manage growth and expand our operations, we may not be able to successfully implement the tasks necessary to further develop and commercialize, if approved, ATTO-1310, ATTO-2306, ATTO-1091 or any future product candidates and, accordingly, we may not achieve our research, development and commercialization goals.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We face competition from entities that have made substantial investments into the rapid development of novel treatments for disorders associated with immune-mediated diseases, including large and specialty biopharmaceutical and biotechnology companies, some of which already have approved therapies in our current indications. The development and commercialization of therapeutic candidates for disorders associated with immune-mediated diseases is highly competitive. Our current and any future product candidates, if approved, will face significant competition, including from well-established, currently marketed therapies or recommended standards of care, and our failure to demonstrate a meaningful improvement to the existing standards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biopharmaceutical and biotechnology companies, academic research institutions and governmental agencies and public and private research institutions.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product candidates, initially under development for treatment of various immune-mediated diseases, if approved, would face competition from approved treatments, some of which have achieved commercial success. To compete successfully, we need to differentiate our product candidates from these currently marketed drugs, meaning that we will have to demonstrate that the relative cost, method of administration, safety, tolerability or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standards of care.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competitors have significantly greater financial, technical, manufacturing, marketing, sales and supply resources or experience than us.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In addition, any collaborators may decide to market and sell products that compete with the product candidates that we have agreed to license to them, and any competition by our collaborators could also have a material adverse effect on our future business, financial condition, and results of operations. Mergers and acquisitions in the biopharmaceutical and biotechnology industries may result in even more resources being concentrated among a smaller number of our competitors. Smaller and other early-stage companies may also prove to be significant competitors, particularly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collaborative arrangements with large and established companies. These third parties compete with us in recruiting and retaining qualified management and other personnel and establishing clinical trial sites and patient/participant registration for clinical trials, as well as in acquiring technologies complementary to, or necessary for, our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the efficient and uninterrupted availability and use of our data, the uninterrupted operation of our information technology systems, and the information technology systems of the third-party vendors, contractors, consultants and other partners (collectively, third parties) with whom we work, which may fail or suffer security incidents, cyberattacks, loss of data and other disruptions. If such systems or our data are or were compromised, we may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impacts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increasingly dependent on information technology systems, infrastructure and data to operate our business. In the ordinary course of business, we, and the third parties with whom we work, collect, process, store, generate, transfer, and transmit (collectively, process) a significant amount of personal information and other sensitive information, including our proprietary and confidential business data, trade secrets, employee data, intellectual property, data we collect about trial participants in connection with clinical trials, and other sensitive third-party data (collectively, sensitive data). It is important that we do so in a manner designed to maintain the availability, confidentiality, and integrity of such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the third parties with whom we work may experience security incidents caused by our personnel, vendors, or other external actors, including cyber-attacks, malicious internet-based activity, online and offline fraud, and other activities that could threaten the confidentiality, integrity, and availability of our sensitive data and information technology systems and those of the third parties with whom we work. Such threats are prevalent, continue to rise, are increasingly difficult to detect, and come from a variety of sources, including criminals, “hacktivists,” insiders, and sophisticated nation state or state-supported actors. We and the third parties with whom we work are subject to evolving threats such as social-engineering attacks (including deep fakes and phishing), malicious code (such as viruses and worms), malware (including advanced persistent threat intrusions), denial-of-service attacks, credential stuffing, credential harvesting, personnel misconduct or error, ransomware attacks, supply-chain attacks, software bugs, server malfunctions, software or hardware failures, loss of data, adware, telecommunications failures, earthquakes, fires, floods, attacks enhanced or facilitated by artificial intelligence, and other similar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may be difficult 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the same or other networks and systems after a compromise of our networks and systems or those of the third parties with whom we 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Remote work has increased risks to our information technology systems and data, as our employees utilize network connections, computers and devices outside our premises or network, including working at home, while in transit and in public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business transactions (such as acquisitions) could expose us to additional cybersecurity risks and vulnerabilities as our systems could be negatively affected by vulnerabilities present in acquired or integrated entities’ systems and technologies. Furthermore, we may discover security issues not found during due diligence of such acquired or integrated entities or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outsource certain elements of our information technology systems and operations to various third parties. Our ability to monitor these third parties’ information security practices is limited, and these third parties may not have adequate information security measures in place despite any applicable contractual representations and warranties to do so. If the third parties with whom we work experience a security incident or other interruption, we could experience adverse consequences. While we may be entitled to damages if such third parties fail to satisfy their privacy or security-related obligations to us, any award may be insufficient to cover our damages, or we may be unable to recover any such award. In addition, supply-chain attacks have increased in frequency and severity, and we cannot guarantee that third parties’ infrastructure in our supply chain or that of the third parties with whom we work have not been or will not be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the third parties with whom we work, take steps designed to detect, mitigate, and remediate vulnerabilities in our information systems; however, we may not detect and remediate all such vulnerabilities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the implementation of these security measures, 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A security incident or other interruption could disrupt our or the third parties with whom we work’s ability to provide our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try to protect our information technology systems and sensitive data, we have expended and may expend significant resources to implement and maintain specific security measures, industry standards, and reasonable security measures. Applicable data privacy and security obligations may require us, or we may voluntarily choose, to notify relevant stakeholders, including affected individuals, customers, regulatory authorities,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of a security incident or other disruption has generally increased as the number, intensity, and the sophistication of attempted and successful attacks and intrusions from around the world have increased. We may not be able to anticipate all types of security threats, nor implement effective preventive measures against all such security threats. If we (or a third party with whom we work) experience or are perceived to have experienced a security incident involving sensitive data or information technology systems, we may experience material adverse consequences, such as government enforcement actions (for example, investigations, fines, penalties, audits, or inspections); additional reporting requirements or oversight; restrictions on processing sensitive data; litigation (including possible class-action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cause existing customers to stop enrolling patients in our sponsored clinical trials or prescribing our products, deter new customers from doing so, and negatively impact our ability to grow and operate our business. Furthermore, if the information technology systems of a third party with whom we work become subject to a security incident or other disruption,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disruptions of our information technology systems or those of the third parties with whom we work, or security breaches could result in the loss, misappropriation or unauthorized access, use, or disclosure of, or the prevention of access to, confidential information (including trade secrets or other intellectual property or proprietary business information) and claims by our counterparties that we have failed to comply with legal or contractual obligations, which could result in financial, legal, business, and reputational harm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the limitations of liability in our contracts would be enforceable or adequate to protect us from liabilities and damage, and we may not have adequate insurance coverage to cover all types of costs, expenses and losses we could incur with respect to security breaches or disruptions. The successful assertion of one or more large claims against us that exceed any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the third parties with whom we work, are, or may in the future become, subject to stringent and changing obligations related to data privacy and security. Our (or their) actual or perceived failure to comply with such obligations could lead to regulatory investigations or actions; litigation (including class-action claims) or mass arbitration demands; fines or penalties; disruptions to our business operations; reputational harm; loss of revenue or profits; loss of customers or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data protection landscape is rapidly evolving and our data processing activities subject us to numerous data privacy and security obligations, such as various state, federal and foreign laws, regulations, guidance, industry standards, external and internal privacy and security policies, contractual requirements and other obligations that govern the processing of sensitive data by us and on our behalf, and we may be subject to new or additional obligations related to data privacy and security and face increased scrutiny from regulatory authorities as our business grows. The legislative and regulatory landscape for data privacy and security continues to evolve worldwide, and there has been an increasing focus on these issues with the potential to adversely affect our business. Various global legislative and regulatory bodies, or self-regulatory organizations, may expand current laws, rules or regulations, enact new ones or issue guidance regarding data privacy and security that could impact our business. As implementation standards and enforcement practices are likely to remain uncertain for the foreseeable future, we cannot yet determine the impact that future privacy and security obligations may have on our business. This evolution creates uncertainty in our business and may affect our ability to operate in certain jurisdictions or to process sensitive data, necessitate the acceptance of more onerous obligations in our contracts, result in liability, or impose additional costs on us. The cost of compliance with these obligations is high and is likely to increase in the future. Any failure or perceived failure by us to comply with federal, state or foreign laws or regulations, our internal policies and procedures or our contracts governing our processing of sensitive data could result in negative publicity, government investigations or enforcement actions, claims by third parties or damage to our reputation, any of which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consumer protection laws (e.g., Section 5 of the Federal Trade Commission Act), comprehensive consumer privacy laws, sector-specific privacy laws, data breach notification laws, laws regarding marketing, and other similar laws governing the processing of sensitive data that we are or may in the future be required to comply with. In addition, we obtain health information from third parties (including research institutions from which we obtain clinical trial data) that is subject to privacy and security requirements under the Health Insurance Portability and Accountability Act (HIPAA), which imposes among other things, certain requirements relating to the privacy, security, transmission, and breach of individually identifiable health information. If we violate HIPAA, depending on the specific facts and circumstances, we could be subject to significant fines, penalties or regulatory inquiries or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 a third of U.S. states have enacted comprehensive consumer privacy laws that impose certain obligations on covered businesses, including providing specific disclosures in privacy notices and affording residents with certain rights concerning their personal information. Similar laws are being considered in several other states, as well as at the federal and local levels, and we expect more states to pass similar laws in the future. While these states exempt some data processed in the context of clinical trials, these developments may further complicate compliance efforts and increase legal risk and compliance costs for us and the third parties with whom we work. Certain states have also adopted specific privacy and security laws and regulations which govern the privacy, processing and protection of health-related personal information. Such laws and regulations will likely be subject to interpretation by various courts and other governmental authorities, creating potentially complex compliance issues for us and our future customers and strategic partners. In addition to government activity, privacy advocacy groups and technology and other industries continue to consider new or revised self-regulatory standards related to privacy and security that may place additional burdens on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For example, in Canada, the Personal Information Protection and Electronic Documents Act (PIPEDA) and various related provincial laws apply to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U.S. Department of Justice issued a final rule, effective April 8, 2025, entitled “Preventing Access to U.S. Sensitive Personal Data and Government-Related Data by Countries of Concern or Covered Persons,” which places additional restrictions on certain data transactions involving “countries of concern” (currently, China (including Hong Kong and Macau), Russia, Iran, North Korea, Cuba and Venezuela) and “covered persons” (entities owned by, organized under the laws of, or operating in such countries, as well as certain individuals affiliated with those countries). The rule restricts or prohibits a range of business activities, such as vendor engagements, data brokerage transactions, employment of certain individuals, and certain investor agreements, if they involve the transfer or access to “sensitive personal data” (such as precise geolocation data, biometric identifiers, personal health data, and personal financial data) above specific thresholds. Certain transactions may be permitted if specific security requirements are met or exemptions apply, but others may be outright prohibited. Violations of the rule could result in significant civil and criminal fines and penalties. Aside from certain narrow exemptions, the rule applies regardless of whether data is anonymized, key-coded, pseudonymized, de-identified or encrypted, which may present challenges for companies like ours and may impact our ability to transfer data in connection with certain transactions or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data privacy and security laws, we are also bound by other contractual obligations related to data privacy and security. For example, we may be contractually required to indemnify and hold harmless third parties with whom we work from the costs or consequences of non-compliance with applicable laws, rules and regulations or other legal obligations relating to privacy or security or any inadvertent or unauthorized processing of sensitive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 We also publish privacy policies, marketing materials, and other statements concerning data privacy and security. Regulatory authorities in the United States and other jurisdictions are increasingly scrutinizing these statements, and if these policies, materials or statements are found to be deficient, deceptive, unfair, or misleading, we would be subject to investigation or enforcement actions by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our CROs, contract manufacturing organizations (CMOs) or other third parties with whom we work will not breach contractual obligations imposed by us, or that they will not experience data security incidents or other interruptions, which could have a corresponding effect on our business, including under privacy laws and regulations or which could in turn adversely affect our business, financial condition, results of operations and prospects. Our contractual measures and our own privacy and security-related safeguards may not be sufficient to completely protect us from the risks associated with the third-party processing of such information. Any of the foregoing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Complying with these complex and often evolving privacy and security related obligations can be expensive, difficult, time consuming, and subject to inconsistent application and interpretation. Any actual or perceived failure to comply with any such obligations, whether by us, or by our CROs, CMOs, partners or other third parties with whom we work, could result in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consequences, including: investigation costs; material fines and penalties; compensatory, special, punitive, or statutory damages; litigation (including class-action claims) and mass arbitration demands; government enforcement actions; requirements to provide notices, credit monitoring or other services to impacted individuals; adverse actions against our licenses; bans or restrictions on processing personal information; required changes to our services, technologies, systems, or practices (or those of our partners); reputational damage; imprisonment of company officials; and injunctive relief.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actual, perceived or suspected failure to comply with applicable privacy and security obligations —regardless of whether it results in unauthorized or lawful processing of sensitive data--may lead to enforcement actions, private litigation, significant fines and penalties, regulatory investigations, adverse publicity, loss of customer trust, and other consequences that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any contract manufacturers or suppliers we engage, fail to comply with environmental, health and safety laws and regulations, we could become subject to fines or penalties or incur costs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third-party contractors are subject to numerous federal, state, local and foreign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leasing and operation of real property may subject us to liability pursuant to certain of these laws or regulations. Under existing United States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liability insurance to cover us for costs and expenses that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 material and adverse effect on our business, financial condition, results of operations and prospects. If product liability lawsuits are brought against us, we may incur substantial liabilities and may be required to limit, delay or cease commercialization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we conduct clinical trials of our current and any future product candidates, we may be exposed to significant product liability risks inherent in the development, testing, manufacturing and marketing of therapeutic treatments. Product liability claims could delay or prevent completion of our development programs. If we succeed in marketing products, if approved, such claims could result in an FDA investigation of the safety and effectiveness of our products, our manufacturing processes and facilities or our marketing programs and potentially a recall of our products or more serious enforcement action by U.S. or foreign regulatory authorities, limitations on the approved indications for which they may be used or suspension or withdrawal of approvals. If we cannot successfully defend ourselves against product liability claims, we may incur substantial liabilities or be required to limit, delay or cease the commercialization of our products. Regardless of the merits or eventual outcome, liability claims may also result in decreased demand for our products,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maintain approximately $10.0 million in general liability insurance and $10.0 million in product liability insurance. We may, however, need to obtain higher levels of insurance coverage for later stages of clinical development or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independent contractors, consultants and vendors may engage in misconduct or other improper activities, including noncompliance with regulatory standards and requirements and insider trading.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employee fraud or other illegal activity by our employees, independent contractors, consultants and vendors. Misconduct by these parties could include intentional, reckless and/or negligent conduct that fails to comply with FDA regulations, provide true, complete and accurate information to the FDA or other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current or future product candidates and begin commercializing those products in the United States, our potential exposure under these laws will increase significantly, and our costs associated with compliance with these laws will likely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other comparable foreign regulatory authorities exclusion from participation in government contracting, healthcare reimbursement or other government programs, including Medicare and Medicaid, integrity oversight and reporting obligations, or reputational harm.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For example, legislation enacted in 2017, informally titled the Tax Cuts and Jobs Act (TCJA), enacted many significant changes to the U.S. tax laws. For our 2022 through 2024 tax years, the TCJA eliminated the option to immediately deduct research and development expenditures and required taxpayers to amortize domestic expenditures over five years and foreign expenditures over fifteen years. Beginning with our 2024 tax year, and with permitted retrospective application to amend the 2023 tax return, the One Big Beautiful Bill Act (the OBBBA) restored immediate deductibility of domestic expenditures, while foreign expenditures will continue to be capitalized and amortized over fifteen years.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tax expense. Further, existing tax laws, statutes, rules, regulations or ordinances could be interpreted, changed, modified or applied adversely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are subject to U.S. federal, state, and local income taxes and other taxes in the United States and will be subject to income taxes, withholding taxes, transaction taxes, and other taxes in any foreign jurisdictions in which we currently do business or may do business in the future. Due to the expanding scale of our international business activities, we may become subject to taxation in additional foreign jurisdictions. Moreover, changes to our corporate structure, including increased headcount and expanded functions outside of the United States, as well as changes to the tax laws in the jurisdictions in which we do business, could impact our worldwide effective tax rate and adversely affect our operating results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Under current law, unused U.S. federal net operating losses generated in tax years beginning after December 31, 2017, will not expire and may be carried forward indefinitely, but the deductibility of such federal net operating losses for any year is limited to no more than 80% of the excess, if any, of current year taxable income (without regard to certain deductions). In addition, both our current and our future unused losses and other tax attributes may be subject to limitation under Sections 382 and 383 of the U.S. Internal Revenue Code of 1986, as amended (the Code), if we undergo, or have undergone, an “ownership change,” generally defined as a greater than 50 percentage point change (by value) in our equity ownership by certain stockholders or groups of stockholders over a three-year period. It is possible that we have undergone one or more “ownership changes” in the past, including in connection with our IPO. We may also undergo an ownership change as a result of other shifts in the ownership of our capital stock in the future, which may further limit our ability to use our pre-change net operating loss carryforwards and other pre-change tax attributes (such as research tax credits) to offset our post-change income or taxes.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and annual operating results may fluctuate significantly or may fall below the expectations of investors or securities analysts, each of which may cause our stock price to fluctuate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variations in the level of expense related to the ongoing development of ATTO-1310, ATTO-2306, ATTO-1091 or any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results of preclinical studies, existing and future clinical trials, or the addition or termination of future preclinical studies and clinical trials or funding support by us, or existing or future collaborators or licensing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enroll patients in clinical trials and the timing and status of enrollment for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conduct unanticipated clinical trials or trials that are larger or more complex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from products that compete with our product candidates, and changes in the competitive landscape of our industry, including consolidation among our competitors or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additional collaboration or licensing agreements with third parties or other strategic transactions, and the timing of payments we may make or receive under existing or future arrangements or the termination or modification of any such existing or future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ATTO-1310, ATTO-2306, ATTO-1091 or any future product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to establish a sales, marketing and distribution infrastructure to commercialize any products for which we may obtain marketing approval and intend to commercialize on our own or jointly with current or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adequately support future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unforeseen business disruptions that increase our costs or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effects of macro events, such as inflation, geopolitical conflicts, pandemics, natural disasters and supply chain issues, on our business and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general global market, political and economic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the price of our common stock could decline substantially. Such a stock price decline could occur even when we have met any previously publicly stated revenue or earnings guidance we may provide. Furthermore, any quarterly or annual fluctuations in our operating results may, in turn, cause the price of our common stock to fluctuate substantially. We believe that quarterly or annual comparisons of our financial results are not necessarily meaningful and should not be relied on as an indication of our future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patent protection or other necessary rights for any of our current or future product candidates and technology, or if the scope of the patent protection obtained is not sufficiently broad or our rights under our patents are not sufficiently broad, our competitors could develop and commercialize products and technology similar or identical to ours, and our ability to successfully commercialize our products and technology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dependent in part on our ability to obtain and maintain proprietary or intellectual property protection in the United States and other countries for our current product candidates or any future product candidates,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immune-mediated diseases drug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and biopharmaceutical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our platform license may be subject to field restrictions and retained rights, which may adversely impact our competitive position. See “Management’s Discussion and Analysis of Financial Condition and Results of Operations—License Agreements—Alamar Platform License Agreement.” Our licensed patent portfolio may not provide us with adequate and continuing patent protection sufficient to exclude others from commercializing products similar to our product candidates, including biosimilar and interchangeable versions of such products. In addition, the patent portfolio licensed to us is, or may be, licensed to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 of discoveries in the scientific literature lags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acquire patent protection that we expect should enable us to maintain competitive advantage, the issuance of a patent is not conclusive as to its inventorship, scope, validity or enforceability. Third parties, including former employees, consultants, collaborators and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Post Grant Review or Inter Partes Review proceedings to the U.S. Patent Trial and Appeal Board (PTAB) challenging the validity of one or more claims of our patents, once issued. Such submissions may also be made prior to a patent’s issuance, precluding the granting of a patent based on one of our patent applications. We may become involved in opposition, reexamination, inter partes review, post-grant review, derivation, or similar proceedings in the United States or abroad challenging the claims of our patents, once issued. Furthermore, patents may be challenged in court, once issued. Competitors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an ex-U.S.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rely on the protection of our trade secrets,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party thereto will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breach the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could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breach our license agreement with Alamar or any other third-parties, or if there are disputes over the intellectual property that we license, it could have a material adverse effect on our commercialization efforts for ATTO-1310, ATTO-2306, and ATTO-1091 and any current or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party to a platform license agreement with Alamar (Alamar Platform License Agreement) that enables us to utilize third-party intellectual property in the development of ATTO-1310, ATTO-2306 and ATTO-1091, and we may in the future enter into more such license agreements with third parties under which we license the use, development and commercialization rights to current or future product candidates or technology from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intellectual property license agreements may require us to comply with various obligations, including diligence obligations such as development and commercialization obligations, as well as potential royalty and milestone payments and other obligations. If we fail to comply with our obligations under any of these license agreements, use the licensed intellectual property in an unauthorized manner, we are subject to bankruptcy-related proceedings or otherwise materially breach any of these license agreements, the terms of the license granted may be materially modified, such as by rendering currently exclusive licenses non-exclusive, or it may give our licensors the right to terminate the applicable license agreement, in whole or in part. Generally, the loss of or termination of our rights under the Alamar Platform License Agreement, or any other licenses we may acquire in the future, could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result in termination of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product candidates incorporating the relevant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and other intellectual property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product candidates,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the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inventors are able to contest the assignment of their rights to our licensors.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disputes over intellectual property that we have licensed or license in the future prevent or impair our ability to maintain our current licensing arrangements on acceptable terms or at all, we may be unable to successfully develop and commercialize the affected product candidates, which could have a material adverse effect on our business. In addition, if disputes arise as to ownership of licensed intellectual property, our ability to pursue or enforce the licensed patent rights may be jeopardized. If we or our licensors fail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adequately protect this intellectual property, our ability to commercialize our products could suffer. Further, certain of our future license agreements with third parties may limit or delay our ability to consummate certain transactions, may impact the value of those transactions or may limit our ability to pursue certain activities (e.g., we may in the future enter into license agreements that are not assignable or transferable, or that require the licensor’s express consent in order for an assignment or transfer to take place).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field of immune-mediated diseases continues to mature,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 If we are found to infringe a third-party’s intellectual property rights, we could be forced, including by court order, to cease developing, manufacturing or commercializing the infringing product candidate or product.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have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our licensors, or any future collaborators and strategic partners may need to resort to litigation to protect or enforce our patents, if and when granted, or other proprietary rights, all of which could be costly, time consuming, delay or prevent the development and commercialization of ATTO-1310, ATTO-2306, ATTO-1091 and any future product candidates, or put our patents, if and when granted, and other proprietary rights at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if and when granted, or other intellectual property. If we were to initiate legal proceedings against a third party to enforce a patent covering one of our products or our technology,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novelty, lack of adequate written description, obviousness or non-enablement. Grounds for an unenforceability assertion could be an allegation that an individual connected with prosecution of the patent withheld relevant information from the USPTO, or made a misleading statement, during prosecution. The outcome following legal assertions of invalidity or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protection on one or more of our products or certain aspects of our platform technology. Such a loss of patent protection could have a material and adverse effect on our business, financial condition, results of operations and prospects. Derivation proceedings provoked by third parties or brought by us may be necessary to determine the inventorship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ATTO-1310, ATTO-2306, ATTO-1091 or any future product candidates to market.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Patents and other intellectual property rights will not protect our technology if competitors design around our protected technology without legally infringing our patents or other intellectual property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of third parties could adversely affect our ability to commercialize ATTO-1310, ATTO-2306, ATTO-1091 and any future product candidates, and we, our licensors or collaborators, or any future strategic partners may become subject to third-party claims or litigation alleging infringement of patents or other proprietary rights or seeking to invalidate patents or other proprietary rights. We might be required to litigate or obtain licenses from third parties in order to develop or market ATTO-1310, ATTO-2306, ATTO-1091 and any future product candidates. Such litigation or licenses could be costly or not available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licensors or collaborators, or any future strategic partners, may be subject to third-party claims for infringement or misappropriation of patent or other proprietary rights. There are a substantial number of forums available for challenging intellectual property rights, both within and outside the United States, involving patent and other intellectual property rights in the biotechnology and biopharmaceutical industries, including patent infringement lawsuits, interferences, derivations, post-grant reviews, oppositions and inter partes review proceedings before the USPTO, and corresponding foreign patent offices. There may be issued patents and pending patent applications that claim aspects of our targets or ATTO-1310, ATTO-2306, ATTO-1091 or any future product candidates and modifications that we may need to apply to ATTO-1310, ATTO-2306, ATTO-1091 or any future product candidates. There may be issued patents that claim methods which may be relevant to the products we wish to develop. Thus, it is possible that one or more entities will hold patent rights to which we will need a license. If those entities refuse to grant us a license to such patent rights on reasonable terms, we may not be able to market products or perform research and development or other activities covered by these patents, which could have a material and adverse effect on our business, financial condition, results of operations and prospects. If we, our licensors or collaborators, or any future strategic partners are found to infringe a third-party patent or other intellectual property rights, we could be required to pay damages, potentially including treble damages and attorneys’ fees if we or they are found to have infringed willfully. In addition, we, our licensors or collaborators,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or any future strategic partners,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could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until such patents expire or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ATTO-1310, ATTO-2306, ATTO-1091 or any future product candidates. There also may be pending patent applications of which we are not aware that may result in issued patents, which could be alleged to be infringed by ATTO-1310, ATTO-2306, ATTO-1091 or any future product candidates. There may be issued patents, held by third parties, which we do not believe we infringe, that, if found to be valid and enforceable, could be found to be infringed by ATTO-1310, ATTO-2306, ATTO-1091 or any future product candidates.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an infringement claim should be brought and be successful, we may be required to pay substantial damages, including potentially treble damages and attorneys’ fees for willful infringement, and we may be forced to abandon ATTO-1310, ATTO-2306, ATTO-1091 or any future product candidates or seek a license from any patent holders. No assurances can be given that a license will be available on commercially reasonable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also possible that we have failed to identify relevant third-party patents or applications. Patent applications covering our products could have been filed by others without our knowledge. Additionally, pending patent applications that have been published can, subject to certain limitations, be later amended in a manner that could cover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financial condition, results of operations and prospects. If we fail in any such dispute, in addition to being forced to pay damages, we may be temporarily or permanently prohibited from commercializing any of ATTO-1310, ATTO-2306, ATTO-1091 or any future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and other legal proceedings relating to intellectual property claims, with or without merit, are unpredictable and generally expensive and time consuming and are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such litigation or proceedings could substantially increase our operating losses and reduce the resources available for development activities or any future sales, marketing or distribution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including our management, were previously employed at biotechnology or biopharmaceutical companies, including our competitors or potential competitors. Some of these employees executed proprietary rights, non-disclosure and non-competition agreements in connection with such previous employment.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develop and ultimately commercialize, or prevent us from developing and commercializing, ATTO-1310, ATTO-2306, ATTO-1091 or any future product candidates, which could severely harm our business, financial condition, results of operations and prospects. Even if we are successful in defending against these claims, litigation could result in substantial costs and be a distraction to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terms may be insufficient to protect our competitive position on ATTO-1310, ATTO-2306, ATTO-1091 and any future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Various patent term adjustments or extensions may be available, but the life of a patent, and the protection it affords, is limited. Even if patents covering ATTO-1310, ATTO-2306, ATTO-1091 or any future product candidates are obtained, once the patent life has expired, we may be open to competition from competitive products, including biosimilars or interchangeables.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patent term extension for any product candidates we may develop, our business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any FDA regulatory approval of any product candidates we may develop and our technology, our U.S. patent or one or more U.S. patents that may issue in the future based on a patent application that we license or own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and/or rely on our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and ex-U.S. patent laws could diminish the value of patents in general, thereby impairing our ability to protect our current or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and enforce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Because of a lower evidentiary standard in USPTO proceedings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Leahy-Smith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patent positions of companies in the development and commercialization of pharmaceuticals and biologics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 For example, in the case, Assoc. for Molecular Pathology v. Myriad Genetics, Inc., the U.S. Supreme Court held that claims to certain DNA molecules are not eligible for patenting. In Amgen Inc. v. Sanofi, 598 U.S. 594 (2023), the Supreme Court held that claims with functional language may face high hurdles in fulfilling the enablement requirement. Recent Federal Circuit decisions such as Cellect v. Vidal, raise questions regarding the award of patent term adjustment (PTA) for patents where related patents have been issued without a PTA. Thus, it cannot be said with certainty how PTA will or will not be viewed in the future and whether patent expiration dates may be impacted. We cannot predict how this and future decisions by the courts, the U.S. Congress or the USPTO may impact the value of our patents. Any similar adverse changes in the patent laws of other jurisdictions could also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Moreover, any name we have proposed to use with our therapeutic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develop products that are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collaborators might not have been the first to make the inventions covered by the issued patents or patent application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collaborators might not have been the first to file patent applications covering certain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 pending patent applications we own or license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license may be held invalid or unenforceable,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adequately protect and police our trademarks and trade secrets;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these events occur, it could significantly harm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dependent on sole source and limited source suppliers for certain drug products, raw materials, samples, components, and other materials used in our product candidates. If we are unable to source these supplies on a timely basis, or establish longer-term contracts with our CMOs, we will not be able to complete our clinical trials on time and the development of our product candidates may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sole source and limited source suppliers for certain drug products, raw materials, samples, components, and other materials used in our product candidates. For example, we rely on WuXi AppTec, WuXi Biologics and their affiliates (WuXi) to perform preclinical studies and supply drug substance and products for our pipeline assets. If we are unable to source these supplies on a timely basis, or establish longer-term contracts with our CMOs, we will not be able to complete our clinical trials on time and the development of our product candidates may be delayed. We do not currently have long-term supply contracts with any of our CMOs and they are not obligated to supply drug products to us for any period, in any specified quantity or at any certain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the delivery contemplated by the relevant purchase orders. As a result, our suppliers could stop selling to us at commercially reasonable prices, or at all. While we intend to enter into long-term master supply agreements with certain of our CMOs in the future as we advance our clinical trials or commercialization plans, we may not be successful in negotiating such agreements 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drug products that we are required to purchase. Any change in our relationships with our CMOs or changes to contractual terms of our agreements with them could adversely affect our business, financial condition, results of operations and prospects. Furthermore, any of the sole source and limited source suppliers upon whom we rely could stop producing our supplies, cease operations or be acquired by, or enter into exclusive arrangements with, one or more of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manufacturing process for ATTO-1310, ATTO-2306 and ATTO-1091 requires special equipment, and identifying additional suppliers able to fabricate such equipment at their facility at acceptable costs may be difficult.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rights to develop and commercialize our ATTOBODY Platform and product candidates are subject, in part, to the terms and conditions of licenses granted to us by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licensed and are dependent on certain patent rights and proprietary technology from third parties that are important or necessary to the development of our ATTOBODY Platform and product candidates. For example, we are a party to the Alamar Platform License Agreement with Alamar, a beneficial owner of more than 5% of our capital stock, pursuant to which we license patents and patent applications that relate to our ATTOBODY Platform. The Alamar Platform License Agreement imposes various milestone payment, royalty, insurance, indemnification and other obligations on us. If we breach any material obligation, or use the intellectual property licensed to us in an unauthorized manner, we may be required to pay damages and Alamar may have the right to terminate the license. If the license is terminated, we may be unable to develop, manufacture, sell, or use our ATTOBODY Platform and products that are covered by the patents licensed under the Alamar Platform License Agreement, and Alamar may allow a competitor to license the covered technology instead. For more information regarding this agreement, please see “Management’s Discussion and Analysis of Financial Condition and Results of Operations—License Agreements—Alamar Platform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licenses may not provide us with exclusive rights to use the licensed intellectual property and technology in all relevant fields of use and in all territories in which we may wish to develop or commercialize our ATTOBODY technologies and product candidates in the future. Some licenses granted to us are subject to certain preexisting rights. Further, our out-licensing agreements generally include exclusivity terms limiting our ability to develop product candidates that may compete with the relevant licensed target or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have complete control in the preparation, filing, prosecution, maintenance, enforcement and defense of patents and patent applications covering the technology that we license from third parties.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Sharing trade secrets with employees, consultants or other third parties may expose us to potential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 Many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employees, including our management, were previously employed at biotechnology or biopharmaceutical companies, including our competitors or potential competitors. Some of these employees executed proprietary rights, non-disclosure and non-competition agreements in connection with such previous employment.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develop and ultimately commercialize, or prevent us from developing and commercializing, ATTO-1310, ATTO-2306, ATTO-1091 or any future product candidates, which could severely harm our business, financial condition, results of operations and prospects. Even if we are successful in defending against these claims, litigation could result in substantial costs and be a distraction to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in the future, seek to enter into collaborations with third parties for the discovery, development and commercialization of product candidates, if approved, and we may not be successful in doing so. If those collaborations are not successful, we may not be able to capitalize on the market potential of ATTO-1310, ATTO-2306, ATTO-1091 or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third-party collaborators for the development and commercialization of our current or any future product candidates, if approved, on a select basis, including potentially in specific foreign jurisdictions. We have not entered into any such collaborations to date. Our likely collaborators for any future collaboration arrangements include large and mid-size biopharmaceutical companies, regional and national biopharmaceutical companies and biotechnology companies. We will face significant competition in seeking appropriate collaborators. Whether we decide to enter into any collaboration arrangement will depend, among other things, on our assessment of the future collaborator’s resources and expertise, the terms and conditions of the proposed collaboration and the proposed collaborator’s evaluation of our business. As such, there can be no assurance that we will reach a definitive agreement for a future collaboration with any third-party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enter into any such arrangements with any third parties, we will likely have limited control over the amount and timing of resources that our future collaborators dedicate to the development or commercialization of our current or any future product candidates. Our ability to generate revenues from these arrangements will be dependent on our future collaborators’ abilities and efforts to successfully perform the functions assigned to them in these arrangements. Collaborations with future collaborators involving our current or any future product candidates would pose numerous risks to us,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 and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de-emphasize or not pursue development and commercialization of our current or any future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current or any future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if approved, relative to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any of which could result in the delay or termination of the research, development or, if approved, commercialization of our current or any future product candidates or that result in costly litigation or arbitration that diverts management attention and resources and in turn could prevent us from generating revenue and limit or prevent us from entering into additional collaborations;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if approved, commercialization of the applicable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if approved, commercialization of product candidates in the most efficient manner or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future collaborator of ours were to be involved in a business combination, the continued pursuit and emphasis on our product development or, if approved, commercialization program could be delayed, diminished or terminated.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establish one or more collaborations, all of the risks relating to product development, regulatory approval and, if approved, commercialization described above would also apply to the activities of any such future collaborators.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the ability to independently conduct all aspects of our clinical trials ourselves. As a result, we are dependent on third parties to conduct our ongoing and planned clinical trials of ATTO-1310, ATTO-2306 and ATTO-1091, any preclinical studies and all clinical trials of any future product candidates. The timing of the initiation and completion of these trials will therefore be partially controlled by such third parties and may result in delays to our development programs. Specifically, we expect CROs, independent clinical investigators and consultants to play a significant role in the conduct of these trials and the subsequent collection and analysis of data.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current good manufacturing practice (cGMP) regulations. Our failure or the failure of third parties on whom we rely to comply with these regulations may require us to stop and/or repeat clinical trials, which would delay the marketing authorization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in a greater cost to us. For example, we are aware of recurrent shortages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 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these third parties may also have relationships with other entities, some of which may be our competitors for whom they may also be conducting clinical trials or other therapeutic candidate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 for ATTO-1310, ATTO-2306, ATTO-1091 and any future product candidates and will not be able to, or may be delayed in our efforts to, successfully commercialize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to manufacture our product candidates and clinical product supplies and we may not be able to obtain adequate supplies at a reasonable cost or in a timely 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manufacturing therapeutic candidates is complex and highly regulated. We do not have any manufacturing facilities or plans to establish manufacturing capabilities in the near future. We rely, and expect to continue to rely, on third parties, including foreign manufacturers, for the manufacture of our product candidates for preclinical and clinical testing, development purposes, to support regulatory application submissions, as well as for commercial manufacture if any of our product candidates obtain marketing approval. This reliance on third parties increases the risk that we will not have sufficient quantities of our product candidates or such quantities at an acceptable cost or quality, which could delay, prevent or impair our development or commercialization efforts. In addition, global health crises or geopolitical conflict may result in disruptions to the operations or an extended shutdown of certain businesses, which could include certain of our contract manufacturers. Further, as our product candidates are developed through preclinical studies to late-stage clinical trials towards approval and commercialization, we are likely to alter various aspects of the development program, such as manufacturing and testing methods, to optimize processes and results, which may result in additional cost or delay.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only limited supply arrangements in place with respect to our product candidates, and these arrangements do not extend to Phase 3 clinical or commercial supply. We acquire many key materials on a purchase order basis. As a result, we may not have long-term committed arrangements with respect to aspects of our product candidates and other materials. We will need to establish one or more agreements with third parties to develop and scale up the drug manufacturing process, conduct testing, and generate data to support regulatory submissions, and may be unable to do so on favorable terms. If we obtain marketing approval for any of our product candidates, we will need to establish an agreement for commercial manufacture with a third party. Even if we are able to establish agreements with third-party manufacturers, reliance on third-party manufacturers entails additional risks,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third party for product development, analytical testing, and data generation to support regulatory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comparable foreign regulatory authority;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infringement, misappropriation, violation or unauthorized disclosure of our intellectual property and proprietary rights, including our trade secrets, know-how and other confidential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 other companies for access to manufacturing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carrier disruptions or increased costs that are beyond our control;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deliver our products under specified storage conditions and in a timely manner.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 BLA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BIOSECURE Act, which was signed into law in December 2025 as part of the National Defense Authorization Act for FY 2026, prohibits U.S. federal agencies from entering into or renewing any contract, loan, or grant with any entity that uses biotechnology equipment or services produced or provided by a “biotechnology company of concern” to perform that contract as well as authorizes the U.S. government to name additional Chinese “biotechnology companies of concern.”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We are currently party to agreements with WuXi AppTec, WuXi Biologics and their affiliates for certain development and manufacturing services. WuXi AppTec was designated on the 1260H List on June 8, 2026, but this designation is the subject of ongoing litigation, and the outcome is uncertain. WuXi Biologics is not currently designated on the 1260H List; however, WuXi Biologics was previously explicitly named as a “biotechnology company of concern” in prior versions of the BIOSECURE Act. There is a safe harbor provision providing that the restrictions do not apply to equipment or services that were formerly but are no longer provided by a “biotechnology company of concern,” as well as a grandfathering provision providing that the prohibitions shall not apply for a five-year period to biotechnology equipment or services produced or provided under a contract or agreement entered into before the applicable effective date. It is unclear whether the grandfathering provision would apply to entities designated as “biotechnology companies of concern” due to their inclusion on the 1260H List. The guidance to be issued by the Office of Management and Budget regarding implementation of the BIOSECURE Act may provide further clarity on this point. If WuXi AppTec, WuXi Biologics and/or other WuXi affiliates that are or may become contractors of ours are designated as “biotechnology companies of concern” by OMB, we may be restricted in our ability to work with such companies to the extent we would contract with, or otherwise receive funding from, the U.S. government. As a result, we may need to seek alternative CMO relationships.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global health crises. If our current third-party manufacturers cannot perform as agreed, we may be required to replace such manufacturers and we may be unable to replace them on a timely basis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may adversely affect our future profit margins and our ability to commercialize any products that obtain marketing approval on a timely and competitive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 is highly uncertain, and we may be unable to obtain, or may be delayed in obtaining, U.S. or foreign regulatory approval and, as a result, unable to commercialize ATTO-1310, ATTO-2306, ATTO-1091 and any future product candidates. Even if we believe our current, or planned clinical trials are successful, regulatory authorities may not agree that they provide adequate data on safety or efficacy.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ATTO-1310, ATTO-2306, ATTO-1091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testing and clinical trials and an extensive regulatory approval process are required to be completed successfully in the United States and in many foreign jurisdictions before a new biopharmaceutical product can be marketed. Satisfaction of these and other regulatory requirements is costly, time consuming, uncertain and subject to unanticipated delays. It is possible that none of the product candidates we may develop will obtain the regulatory approvals necessary for us to begin selling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prior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on the type, complexity and novelty of the product candidate. The standards that the FDA and its foreign counterparts use when regulating us require judgment and can change, which makes it difficult to predict with certainty their application.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not 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adversely affect the development and study of ATTO-1310, ATTO-2306, ATTO-1091 or other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FDA and other comparable foreign regulatory authorities may respond to any Investigational New Drug Application (IND) or Biologics License Application (BLA) (and their foreign equivalents) that we may submit by defining requirements that we do not anticipate. Such responses could delay clinical development of ATTO-1310, ATTO-2306, ATTO-1091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regulatory programs in the United States, such as Breakthrough Therapy Designation, Fast Track Designation or Priority Review Designation, are designed to expedite the development and review of therapies to treat certain diseases. We may seek such designations, and comparable designations by foreign regulatory authorities, for one or more of our product candidates for the treatment of certain indications. However, regulatory authorities have broad discretion whether or not to grant such designations, and the receipt of such designations may not result in faster development, review or approval and does not guarantee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approval policies or regulations of the FDA and other comparable regulatory authorities in other jurisdictions may change in a manner rendering our clinical data insufficient for approval. 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on the labeling or other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United States and vice versa. Any delay or failure to obtain United States or foreign regulatory approval for a product candidate could have a material and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there are delays in obtaining, or we are not able to obtain, required regulatory approvals in the United States or in foreign jurisdictions, we will not be able to commercialize our product candidates, and our ability to generate revenue will be materially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none of the product candidates that we develop will obtain the regulatory approvals necessary for us to begin commercializing them. The time required to obtain FDA and other approvals is unpredictable but in general takes years following the commencement of clinical trials, depending on the nature of the product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product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 We face intense competition in our development activities. We face competition from many companies in the United States and abroad, including a number of large biopharmaceutical companies, firms specialized in the development and production of antibody fusion proteins and major universities and research institutions. Most of our competitors have substantially greater resources, more extensive experience in conducting nonclinical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Breakthrough Therapy Designation by the FDA, even if granted for any of our product candidates, may not lead to a faster development or regulatory review or approval process, and does not increase the likelihood that our product candidates will receive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breakthrough designation for some or all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in our case, may demonstrate substantial improvement over existing therapies with respect to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after completing early clinical trials, that one of our product candidates meets the criteria for designation as a Breakthrough Therapy, the FDA may disagree and instead determine not to make such designation. Even if we receive Breakthrough Therapy Designation for other product candidates or indications in the future, we may not experience a faster development process, review or approval compared to drugs or biologics considered for approval under conventional FDA procedures and such a designation does not assure ultimate approval by the FDA. Even if one or more of our product candidates qualify as a Breakthrough Therapy, the FDA may later decide that such product candidates no longer meet the conditions for qualification.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For example, even if the FDA or European Medicines Agency (EMA) grants regulatory approval of a product candidate, comparable regulatory authorities in foreign jurisdictions must also approve the manufacturing, marketing and promotion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regulatory approvals, our target market will be reduced and our ability to realize the full market potential of our product candidates will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regulatory approval for ATTO-1310, ATTO-2306, ATTO-1091 and any future product candidates, we will be subject to ongoing regulatory obligations and continued regulatory review, which may result in significant additional expense. Additionally, ATTO-1310, ATTO-2306, ATTO-1091 and any future product candidates, if approved, could be subject to labeling and other restrictions and market withdrawal. We may also be subject to penalties if we fail to comply with regulatory requirements or experience unanticipated problems with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obtain for ATTO-1310, ATTO-2306, ATTO-1091 or any of our future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 In addition, if the FDA or other comparable foreign regulatory authorities approve any of our future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The manufacturing facilities we use to make future product candidates, if any, will also be subject to periodic review and inspection by the FDA or other comparable foreign regulatory authorities, including for continued compliance with cGMP requirements. The discovery of any new or previously unknown problems with our CMOs, manufacturing processes or facilities may result in restrictions on the product, manufacturer or facility, including withdrawal of the product from the market. If we rely on CMOs, we will not have control over compliance with applicable rules and regulations by such manufacturers.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any product promotion and advertising will also be subject to regulatory requirements and continuing regulatory review. The FDA imposes stringent restrictions on manufacturers’ communications regarding use of their products. If we promote ATTO-1310, ATTO-2306, ATTO-1091 or any of our future product candidates in a manner inconsistent with FDA-approved labeling or otherwise not in compliance with FDA regulations, we may be subject to enforcement action. Moreover, while we believe that ATTO-1310, ATTO-2306, ATTO-1091 or any future product candidates may provide better safety or effectiveness as compared to approved products, if we do not study ATTO-1310, ATTO-2306, ATTO-1091 or any future product candidates in head-to-head trials with those products, we will not be able to make comparative claims for our products,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manufacturers or service providers fail to comply with applicable continuing regulatory requirements in the United States or foreign jurisdictions in which we seek to market our products, we or they may be subject to,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 483s, restrictions on the manufacturing of the product, product recalls or withdrawal of the product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or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or comparable foreign regulatory authorities to accept new marketing applications or approve pending applications or supplements to approved applications, or suspension or revocation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fines or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adverse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discovery of previously unknown problems with a product, including adverse events of unanticipated severity or frequency, or with our CMOs or manufacturing processes, or failure to comply with regulatory requirements, may result in, these same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programs for which we intend to seek approval as biologics may face competition sooner than anticipated.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Protection and Affordable Care Act, as amended by the Health Care and Education Reconciliation Act (ACA), includes a subtitle called the Biologics Price Competition and Innovation Act of 2009 (BPCIA), which created an abbreviated approval pathway for biological products that are biosimilar to or interchangeable with an FDA-licensed reference biological product. Biosimilars are biological products approved under section 351(k) of the Public Health Service Act (PHS Act) relying on the FDA’s findings of safety, purity, and potency for a licensed biologic (Reference Product) submitted pursuant to section 351(k) of the PHS Act. A biosimilar is highly similar to its Reference Product, excluding minor differences in clinically inactive components for which there are no clinically meaningful differences between the proposed biological product and the Reference Product in safety, purity, or potency. Certain biosimilars may be substituted for the Reference Product in accordance with state law. Under the BPCIA, an application for a biosimilar product relying on the Reference Product may not be submitted to the FDA until four years following the date that the Reference Product was first approved by the FDA. In addition, the approval of a biosimilar product relying on the Reference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any of our programs approved as biologics under a BLA should qualify for the 12-year period of exclusivity. However, there is a risk that this exclusivity could be shortened due to congressional action or otherwise, or that the FDA will not consider our programs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 in a way that is similar to traditional generic substitution for non-biological products is not yet clear, and will depend on a number of marketplace and regulatory factors that are still developing.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policies of the FDA or other regulatory authorities may change, and additional government regulations may be enacted that could prevent, limit or delay regulatory approval of any of ATTO-1310, ATTO-2306, ATTO-1091 or our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 which would adversely affect our business. We also cannot predict the likelihood, nature or extent of government regulation that may arise from future legislation or administrative or executive action, either in the United States or abroad.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are unknown. We also cannot predict the extent to which regulations, policies, and decisions of the FDA or other regulatory authorities, such as the SEC, may become subject to increasing legal challenges, delays, and changes.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among other factors, funding shortages or global health concerns could hinder their ability to hire and retain key leadership and other personnel, slow the time necessary for new products to be reviewed and/or approved, or otherwise prevent those agencies from performing normal business functions on which the operation of our business may rely, which would adversely affect our business. In addition,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government shutdowns, statutory, regulatory, and policy changes, the FDA’s ability to hire and retain key personnel and accept the payment of user fees, and other events that may otherwise affect the FDA’s ability to perform routine functions. In addition, government funding of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may slow the time necessary for new products to be reviewed and/or approved, which would adversely affect our business. For example, starting in January 2025, the U.S. government has reduced the number of federal employees, including at FDA, by establishing voluntary termination programs, by position eliminations or by involuntary terminations. Changes in FDA staffing could result in delays in the FDA’s responsiveness or in its ability to review submissions or applications, issue regulations or guidance, or implement or enforce regulatory requirements in a timely fashion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 consequences would also result in the event of a significant shutdown of the federal government. For example, over the last several years, including in early 2026, the U.S. government has shut down several times, and certain regulatory agencies, such as the FDA, had to furlough critical employees and stop critical activities. If a prolonged government shutdown occurs, or if geopolitical or global health concerns prevent the FDA from conducting their regular inspections, reviews, or other regulatory activities, or if the volume of applications to the FDA for new product candidates increases materially,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 If any legislation, executive orders, or lapses in agency funding impose constraints on the FDA’s ability to engage in oversight and implementation activities in the normal course, our business may be negatively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FDA-regulated industries, such as ours, face uncertainty with regard to the regulatory environment we will face as we proceed with research and development, and possibly in the future commercialization. Some of these efforts have manifested to date in the form of personnel measures that could impact the FDA’s ability to hire and retain key personnel, which could result in delays or limitations on our ability to obtain guidance from the FDA on our product candidates in development and obtain the requisite regulatory approvals in the future. Moreover, the U.S. government paused payments by, reduced the budget of, and terminated grants provided by the National Institutes of Health (NIH) related to its funding for medical research, which has decreased, and may continue to decrease, the ability of facilities that rely on NIH funding to enroll and conduct clinical trials or increase the costs to us of conducting clinical trials. Some of these actions have been challenged in court and there remains general uncertainty regarding future activities. New executive orders, regulations, policies or guidance could be issued or promulgated that adversely affects us or creates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found to have improperly promoted off-label use of our products, we may become subject to significant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the EMA and comparable regulatory authorities in other jurisdictions strictly regulate the promotional claims that may be made about prescription drug products, such as our products. While physicians, in the practice of medicine, may prescribe approved drugs for unapproved indications, a product may not be promoted for uses that are not approved by the applicable regulatory authority as reflected in the product’s approved labeling or for uses inconsistent with the product’s approved labeling. If our promotional materials and related activities are not consistent with the approved labeling or if physicians, in their professional medical judgment, nevertheless prescribe the drug product to their patients in a manner that is inconsistent with the approved labeling, we may be subject to claims that we promoted off-label use or otherwise violated applicable regulations. In addition, although we may believe ATTO-1310, ATTO-2306, ATTO-1091 or our future product candidates may provide for superior efficacy as compared to marketed products, without head-to-head data, we will be unable to make comparative claims for our products. If we are found to have promoted such off-label use or made such unsubstantiated comparative claims, we may become subject to significant liability under the Federal Food, Drug, and Cosmetic Act and other statutory authorities, such as laws prohibiting false claims for reimbursement.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operations and relationships with healthcare providers, healthcare organizations, customers and third-party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arrangements with healthcare providers, healthcare organizations, third-party payors and customers expose us to broadly applicable anti-bribery, fraud and abuse and other healthcare laws and regulations that may constrain the business or financial arrangements and relationships through which we research, market, sell and distribute any of our product candidates, if approved. Restrictions under applicable federal and state anti-bribery and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individuals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their respective implementing regulations, which impose obligations on certain healthcare providers, health plans, and healthcare clearinghouses, known as covered entities, as well as their business associates and covered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covered drugs, devices, biologics and medical supplies that are reimbursable under Medicare, Medicaid, or the Children’s Health Insurance Program, with certain exceptions, to report annually to the Centers for Medicare &amp; Medicaid Services (CMS) information related to certain payments and other transfers of value to physicians (defined to include doctors, dentists, optometrists, podiatrists and chiropractors), certain other health care professionals (such as physician assistants and certain advanced practice nurses), and teaching hospitals, as well as ownership and investment interests held by the physicians described above and their immediate family members, with the information made publicly available on a searchable website;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Foreign Corrupt Practices Act (FCPA), which prohibits U.S. businesses and their representatives from directly or indirectly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that may apply to sales or marketing arrangements and claims involving healthcare items or services reimbursed by non-governmental third-party payors, including private insurers;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 laws that require biopharmaceutical companies to obtain regulatory licenses to manufacture or distribute products commercially,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and non-U.S. laws governing the privacy and security of health information in some circumstances, many of which differ from each other in significant ways and often are not preempted by HIPAA, thus complicating compliance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our financial results.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face difficulties from healthcare legislative and regulatory reform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laws and regulatory policies may change and additional government regulations may be enacted that could prevent, limit or delay regulatory approval of ATTO-1310, ATTO-2306, ATTO-1091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or may face penalties for any approved products, and we may not achieve or sustain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 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ACA made significant changes to the healthcare system, including an increase to manufacturers’ rebate liability under the Medicaid Drug Rebate Program, imposition of a significant annual fee on companies that manufacture or import branded prescription drug products and a requirement for manufacturers to provide a discount off the negotiated price of prescriptions filled by Medicare Part D enrollees. In addition, on July 4, 2025, the OBBBA was signed into law that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among other things, implementing work requirements for most beneficiaries, capping state-directed payments, reducing federal funding and limiting provider taxes used to fund the program. Congress is also considering proposed legislation intended to further reduce healthcare costs with alternatives to replace the expired ACA subsidies.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heightened governmental scrutiny over the manner in which manufacturers set prices for their marketed products, which has resulted in several presidential executive orders, Congressional inquiries, proposed regulations, and proposed and enacted federal and state legislation designed to, among other things, bring more transparency to product pricing, reduce the costs of drugs under Medicare, and reform government program reimbursement methodologies for drug products. For example, the current administration has announced agreements with several pharmaceutical companies that require the drug manufacturers to offer, through a direct to consumer platform (TrumpRx) U.S. patients and Medicaid programs prescription drug Most-Favored Nation (MFN) pricing equal to or lower than those paid in other developed nations, with additional mandates for direct-to-patient discounts and repatriation of foreign revenues. Other examples include: (1) proposed regulations to reduce Medicare payments of single-source drugs and biologics to prices paid in other developed countries; (2) imposing tariffs on certain imported pharmaceutical products; and (3)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MFN pricing, lower government subsidies to private insurance companies, increase healthcare price transparency, expand drugs available for over-the-counter purchase, and enact restrictions on pharmacy benefit manager (PBM) payment methodologies, among others. These actions and policies may significantly reduce U.S. drug prices, potentially impacting manufacturers’ global pricing strategies and profitability, while increasing their operational costs and compliance risks. Further,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the amounts that federal and state governments will pay for pharmaceuticals and other healthcare products and services, which could result in reduced demand for ATTO-1310, ATTO-2306, ATTO-1091 or any future product candidates or additional pricing pressures.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implementation of cost containment measures or other healthcare reforms may prevent us from being able to generate revenue, attain profitability, or commercialize our products, if approved.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are able to commercialize ATTO-1310, ATTO-2306, ATTO-1091 and any future product candidates, if approved, such product candidate may become subject to unfavorable pricing regulations or third-party coverage and reimbursement policies,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Sales of any of our product candidates that receive regulatory approval will be dependent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significant uncertainty related to insurance coverage and reimbursement of newly approved products. In the United States, principal decisions about reimbursement for new products are typically made by CMS. CMS decides whether and to what extent a new product will be covered and reimbursed under Medicare, and private payors often follow CMS’s decisions regarding coverage and reimbursement to a substantial degree. However, one payor’s determination to provide coverage for a product does not assure that other payors will also provide coverage for the product. As a result, the coverage determination process is often time-consuming and costly. This process will require us to provide scientific and clinical support for the use of our products to each payor separately, with no assurance that coverage and adequate reimbursement will be applied consistently or obtained in the first instance. 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products. There may be especially significant delays in obtaining coverage and reimbursement for newly approved products. Third-party payors may limit coverage to specific products on an approved list, known as a formulary, which might not include all FDA-approved products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approved. For example, the Inflation Reduction Act of 2022 directed the U.S. Department of Health and Human Services (HHS) to impose rebates on most Medicare Part B and Medicare Part D products to penalize price increases that outpace inflation on an annual basis. In addition, the Inflation Reduction Act authorized the Medicare Drug Price Negotiation Program, which empowers HHS to negotiate the price of certain single-source biologics that have been on the market for at least 11 years covered under Medicare. Each year, up to 20 drugs or biologics covered under Medicare Part B and Part D will be selected by HHS for negotiation of a price that must be lower than a statutory mandated cap. Products subject to the Medicare Drug Price Negotiation Program are expected to experience a significant reduction in reimbursement from the Medicare program on a per unit basis.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Governments outside the United States tend to impose strict price controls, which may adversely affect our revenue,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countries, particularly member states of the EU, the pricing of therapeutic products is subject to governmental control. In these countries, pricing negotiations with governmental authorities can take considerable time after receipt of regulatory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may be required to conduct a clinical trial or other studies that compare the cost-effectiveness of ATTO-1310, ATTO-2306, ATTO-1091 or any future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prevent or delay an acquisition of us, which may be beneficial to our stockholders,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so that not all members of our board of directors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only the board of directors to establish the number of directors and fill vacancies on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super-majority voting to amend some provisions in our restated certificate of incorporation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of directors could use to implement a stockholder rights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restated bylaws, to the fullest extent permitted by law, provide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bylaws to be inapplicable or unenforceable in an action, we may incur additional costs associated with resolving such action in other jurisdictions, which could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price of our common stock is likely to be highly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likely to be highly volatile and subject to wide fluctuations in response to various factors, some of which we cannot control. As a result of this volatility, investors may not be able to sell their common stock at or above the price initially paid for the shares. The market price for our common stock may be influenced by many factors, including the other risks described in this “Risk Factors” section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preclinical studies and clinical trials of any product candidates, or those of our competitors or our existing or future collaborators or licensing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enrollment status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or other countries, especially changes in federal or global health policies, laws or regulations applicable to any product candidates, including the review and oversight functions of federal health regulatory bodies;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or failure of competitive products or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 candidates by us, any future commercialization partners,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any product candidates, clinical studies, and, if approved,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identify, acquire or in-license new technologies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any future collaborations, including but not limited to those with development and commercialization partners if any product candidates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are able to raise it,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development timelines or changes in stock market analyst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of share price and 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or perceived potential sales of shares of our common stock by us, insiders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instituted by activist shareholders or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other calamities, including global pandemics such as the COVID-19 pandemic;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changes in tariffs and trade restrictions, fluctuating interest rates and inflation;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currently intend to pay dividends on our common stock and, consequently, our stockholders’ ability to achieve a return on their investment will be dependent on appreciation of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intend to retain all available funds and any future earnings to support operations and to finance the growth and development of our business. As a result, any investment return on our common stock will be dependent on increases in the value of our common stock, which is not certain. There is no guarantee that shares of our common stock will appreciate in value or even maintain the price at which stockholders have purchased their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industry or securities analysts publish about us or our business. We do not have any control over the industry or securities analysts, or the content and opinions included in their reports. If no or few securities or industry analysts cover our business, the trading price for our common stock could be impacted negatively. If any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substantial amounts of shares of our common stock may cause the price of our common stock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If our stockholders sell, or the market perceives that our stockholders intend to sell in the public market before or after the lock-up and other legal restrictions on resale lapse in connection with our IPO, the market price of our stock could decline significantly. Each of our officers, directors and substantially all of our stockholders have entered into lock-up agreements that, among other things and subject to certain exceptions, restrict their ability to sell or transfer their shares. The lock-up agreements will expire on January 31, 2027. However, Morgan Stanley &amp; Co. LLC, Leerink Partners LLC, Citigroup Global Markets Inc. and RBC Capital Markets, LLC may, in their sole discretion, permit our officers, directors and other stockholders who are subject to the lock-up agreements to sell shares prior to January 31,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holders of our outstanding common stock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 subject to the 180-day lock-up period under the lock-up agreements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of our common stock or other securities convertible into shares of our common stock, our stockholders will be diluted. These sales, or the perception in the market that the holders of a large number of shares intend to sell shares of our common stock, could reduce the market price of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current in-person operations are located in San Carlos, California, and we or the third parties on whom we depend may be adversely affected by natural disasters, terrorist activity, pandemics, geo-political actions in the United States and in foreign countries, and other events beyond our control, and our business continuity and disaster recovery plans may not adequately protect us from a serious disaster. 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in-person operations are located in our corporate headquarters and research and development facility in San Carlos, California. Any unplanned event, such as flood, fire, explosion, earthquake, extreme weather condition, pandemic, medical epidemic, power shortage, telecommunication failure or other natural or manmade accidents or incidents that result in us being unable to fully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utilize our facilities, or the manufacturing facilities of our CMOs may have a material and adverse effect on our ability to operate our business and have significant negative consequences on our financial and operating conditions. If our facilities, or the manufacturing facilities of our CMOs, are unable to operate because of an accident or incident or for any other reason, including an inability to use all or a significant portion of our headquarters, damages to critical infrastructure, such as our research facilities or the manufacturing facilities of our CMOs, or other disruptions to operations, even for a short period of time, any or all of our research and development programs may be harmed. Any business interruption could have a material and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employees often conduct business outside of any facilities leased by us. These locations may be subject to additional security and other risk factors due to the limited control of our employees.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Unstable market and economic conditions and adverse developments affecting the financial services industry, such as actual events or concerns involving inflation, liquidity, defaults or nonperformance by financial institutions or transactional counterparties, could adversely affect our current and projected business operations, and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Russia’s ongoing incursion into Ukraine has created extreme volatility in the global capital markets and is expected to have further global economic consequences, including disruptions of the global supply chain and energy markets; it is possible that the ongoing Israel-Hamas conflict may have similar effects. In addition, adverse developments that affect financial institutions, such as events involving liquidity that are rumored or actual, have in the past and may in the future lead to market-wide liquidity problems. For example, in March 2023, Silicon Valley Bank (SVB), one of our banking partners, was closed by the California Department of Financial Protection and Innovation, which appointed the Federal Deposit Insurance Corporation (FDIC) as receiver.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 liquidity may still occur in the future. We may maintain cash balances at third-party financial institutions in excess of the FDIC insurance limit and there is no guarantee that the federal government would provide access to uninsured funds in the future in the event of the closure of other banks or financial institutions, or that they would do so in a timely fashion.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fluctuating interest rates have led to a decline in the trading value of previously issued government securities with interest rates below current market interest rates.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incur significant increased costs as a result of operating as a public company, and our management is required to devote substantial time to new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new public company, and particularly after we are no longer an emerging growth company or smaller reporting company, we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If these requirements divert the attention of our management and personnel from other business concerns, they could have a material adverse effect on our business, financial condition and results of operations. Moreover, these rules and regulations substantially increase our legal and financial compliance costs and make some activities more time consuming and costly. For example, these rules and regulations can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executive officers. The increased costs will decrease our net income or increase our net loss, and the increased costs may require us to reduce costs in other areas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is likely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divert our management’s attention and resources from other business concerns and damage our reputation, which could seriously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reporting requirements applicable to emerging growth companies or smaller reporting companies could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be an emerging growth company until December 31, 2031, although circumstances could cause us to lose that status earlier, including if we are deemed to be a “large accelerated filer,” which occurs when the market value of our common stock that is held by non-affiliates equals or exceeds $700.0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JOBS Act, emerging growth companies can also delay adopting new or revised accounting standards until such time as those standards apply to private companies. We have elected to take advantage of the benefits of this extended transition period. Our consolidated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will continue to be a smaller reporting company if either (i) the market value of our common stock held by non-affiliates is less than $250.0 million, measured as of the last business day of our most recently completed second quarter or (ii) our annual revenue is less than $100.0 million during the most recently completed fiscal year and the market value of our common stock held by non-affiliates is less than $700.0 million. We may continue to be a smaller reporting company even after we cease to be an emerging growth company, so we may continue to rely on exemptions from certain disclosure requirements that are available to smaller reporting companies. Specifically, as a smaller reporting company we may choose to present only the two most recent fiscal years of audited financial statements, we are not required to comply with the auditor attestation requirements of Section 404 of the Sarbanes-Oxley Act and, similar to emerging growth companies, smaller reporting companies have reduced disclosure obligations regarding executive compensation.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establish and maintain proper and effective internal control over financial reporting in the future, our ability to produce accurate and timely consolidated financial statements could be impaired, which could harm our operating results, investors’ views of us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Section 404 of the Sarbanes-Oxley Act, we will be required to furnish a report by our management on our internal control over financial reporting within our Annual Report on Form 10-K. However, while we remain an emerging growth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not be required to include an attestation report on internal control over financial reporting issued by our independent registered public accounting firm. Ensuring that we have adequate internal financial and accounting controls and procedures in place so that we can produce accurate consolidated financial statements on a timely basis is a costly and time-consuming effort that will need to be frequently evaluated. Our failure to maintain the effectiveness of our internal controls in accordance with the requirements of the Sarbanes-Oxley Act could have a material adverse effect on our business. If we identify one or more material weaknesses, it could result in an adverse reaction in the financial markets due to a loss of confidence in the reliability of our consolidated financial statements. In addition, if we are not able to continue to meet these requirements, we may not be able to remain listed on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grow, we expect to hire additional personnel and may utilize external temporary resources to implement, document and modify policies and procedures to maintain effective internal controls. However, it is possible that we may identify deficiencies and weaknesses in our internal controls. If material weaknesses or deficiencies in our internal controls exist and go undetected or unremediated, our consolidated financial statements could contain material misstatements that, when discovered in the future, could cause us to fail to meet our future reporting obligations and cause the price of our common stock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June 30, 2026, we issued (i) options to employees to purchase an aggregate of 15,122 shares of common stock under our 2023 Equity Incentive Plan (the “2023 Plan”), with a per share exercise price of $7.99 per share, and (ii) an aggregate of 18,059 shares of common stock to our employees upon the exercise of options granted under the 2023 Plan, with exercise prices ranges from $1.58 to $3.54 per share. The issuances of the above securities were exempt from registration under the Securities Act in reliance upon Section 4(a)(2) of the Securities Act or Rule 701 promulgated under Section 3(b) of the Securities Act as transactions by an issuer not involving any public offering or pursuant to benefit plans and contracts relating to compensation as provided under Rule 701.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 Use of Proceeds from 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4, 2026, our Registration Statement on Form S-1 (No. 333-297452) was declared effective by the SEC, pursuant to which we issued and sold an aggregate of 19,550,000 shares of common stock (inclusive of 2,550,000 shares of common stock sold pursuant to the underwriters’ exercise of their option to purchase additional shares) at a public offering price of $17.00 per share for aggregate gross proceeds of $332.4 million and approximately $305.4 million in net proceeds after deducting underwriting discounts and commissions and estimated offering costs. Our IPO closed on August 6, 2026. Morgan Stanley, Leerink Partners, Citigroup and RBC Capital Markets acted as joint book-running managers for the offering. LifeSci Capital acted as a passive book-running manager for the offering. In connection with our IPO,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our IPO as described in our final prospectus filed with the SEC pursuant to Rule 424(b)(4) under the Securities Act on August 5, 2026.</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5675"/>
        <w:gridCol w:w="146"/>
        <w:gridCol w:w="528"/>
        <w:gridCol w:w="146"/>
        <w:gridCol w:w="842"/>
        <w:gridCol w:w="146"/>
        <w:gridCol w:w="691"/>
        <w:gridCol w:w="146"/>
        <w:gridCol w:w="991"/>
      </w:tblGrid>
      <w:tr>
        <w:trPr/>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4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Attovia Therapeutics,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Attovia Therapeutics,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7/29/2026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Investors’ Rights Agreement, dated March 31, 2025, by and among the Registrant and certain of its stockholders.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Indemnity Agreement.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2023 Equity Incentive Plan, as amended, and forms of award agreements.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2026 Equity Incentive Plan, and forms of award agreements.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7/29/2026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2026 Employee Stock Purchase Plan, and forms of award agreements.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7/29/2026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Common Stock Purchase Agreement.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Confirmatory Offer Letter, dated July 20, 2026, between the Registrant and Tao Fu.</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7/29/2026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Confirmatory Offer Letter, dated July 20, 2026, between the Registrant and Petter Veiby.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7/29/2026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Confirmatory Offer Letter, dated July 20, 2026, between the Registrant and Hubert Chen.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7/29/2026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Executive Change in Control and Severance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7/29/2026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Non-Employee Director Compensation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7/29/2026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Lease Agreement, dated July 12, 2024, between the Registrant and Brittan West Owner,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Second Amended and Restated Platform License Agreement, effective as of June 1, 2023, between the Registrant and Alamar Biosciences,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to-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to-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to-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to-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Registrant has omitted portions of the exhibit (indicated by “[*]”) as permitted under Item 601(b)(10)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Registrant has omitted schedules and exhibits pursuant to Item 601(a)(5) of Regulation S-K. The Registrant agrees to furnish supplementally a copy of the omitted schedules and exhibits to the SEC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663" w:type="dxa"/>
        <w:jc w:val="left"/>
        <w:tblInd w:w="0" w:type="dxa"/>
        <w:tblLayout w:type="fixed"/>
        <w:tblCellMar>
          <w:top w:w="28" w:type="dxa"/>
          <w:left w:w="28" w:type="dxa"/>
          <w:bottom w:w="28" w:type="dxa"/>
          <w:right w:w="28" w:type="dxa"/>
        </w:tblCellMar>
      </w:tblPr>
      <w:tblGrid>
        <w:gridCol w:w="2116"/>
        <w:gridCol w:w="406"/>
        <w:gridCol w:w="4141"/>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ATTOVIA THERAPEUTICS, INC.</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Tao Fu</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Tao Fu</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President and Director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Chan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Chan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atto-ex31_1.htm"/>
      <w:bookmarkStart w:id="23" w:name="ksattoex31_1"/>
      <w:bookmarkEnd w:id="22"/>
      <w:bookmarkEnd w:id="2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 13a-14(a) OR 15d-14(a)</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Tao Fu,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Attovia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978" w:type="dxa"/>
        <w:jc w:val="left"/>
        <w:tblInd w:w="0" w:type="dxa"/>
        <w:tblLayout w:type="fixed"/>
        <w:tblCellMar>
          <w:top w:w="28" w:type="dxa"/>
          <w:left w:w="28" w:type="dxa"/>
          <w:bottom w:w="28" w:type="dxa"/>
          <w:right w:w="28" w:type="dxa"/>
        </w:tblCellMar>
      </w:tblPr>
      <w:tblGrid>
        <w:gridCol w:w="2116"/>
        <w:gridCol w:w="406"/>
        <w:gridCol w:w="4456"/>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Tao Fu</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Tao Fu</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 (Principal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atto-ex31_2.htm"/>
      <w:bookmarkStart w:id="25" w:name="ksattoex31_2"/>
      <w:bookmarkEnd w:id="24"/>
      <w:bookmarkEnd w:id="25"/>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 13a-14(a) OR 15d-14(a)</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Steven Chan,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Attovia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358" w:type="dxa"/>
        <w:jc w:val="left"/>
        <w:tblInd w:w="0" w:type="dxa"/>
        <w:tblLayout w:type="fixed"/>
        <w:tblCellMar>
          <w:top w:w="28" w:type="dxa"/>
          <w:left w:w="28" w:type="dxa"/>
          <w:bottom w:w="28" w:type="dxa"/>
          <w:right w:w="28" w:type="dxa"/>
        </w:tblCellMar>
      </w:tblPr>
      <w:tblGrid>
        <w:gridCol w:w="2116"/>
        <w:gridCol w:w="406"/>
        <w:gridCol w:w="5836"/>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Chan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Chan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 (Principal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atto-ex32_1.htm"/>
      <w:bookmarkStart w:id="27" w:name="ksattoex32_1"/>
      <w:bookmarkEnd w:id="26"/>
      <w:bookmarkEnd w:id="2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PURSUANT TO 18 U.S.C. SECTION 1350, AS</w:t>
      </w:r>
    </w:p>
    <w:p>
      <w:pPr>
        <w:pStyle w:val="TextBody"/>
        <w:bidi w:val="0"/>
        <w:jc w:val="center"/>
        <w:rPr>
          <w:rFonts w:ascii="Times New Roman" w:hAnsi="Times New Roman"/>
          <w:b/>
          <w:color w:val="000000"/>
          <w:sz w:val="20"/>
        </w:rPr>
      </w:pPr>
      <w:r>
        <w:rPr>
          <w:rFonts w:ascii="Times New Roman" w:hAnsi="Times New Roman"/>
          <w:b/>
          <w:color w:val="000000"/>
          <w:sz w:val="20"/>
        </w:rPr>
        <w:t>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I, Tao Fu, Chief Executive Officer of Attovia Therapeutics, Inc. (the “Company”), hereby certify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6978" w:type="dxa"/>
        <w:jc w:val="left"/>
        <w:tblInd w:w="0" w:type="dxa"/>
        <w:tblLayout w:type="fixed"/>
        <w:tblCellMar>
          <w:top w:w="28" w:type="dxa"/>
          <w:left w:w="28" w:type="dxa"/>
          <w:bottom w:w="28" w:type="dxa"/>
          <w:right w:w="28" w:type="dxa"/>
        </w:tblCellMar>
      </w:tblPr>
      <w:tblGrid>
        <w:gridCol w:w="2116"/>
        <w:gridCol w:w="406"/>
        <w:gridCol w:w="4456"/>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Tao Fu</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Tao Fu</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 (Principal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atto-ex32_2.htm"/>
      <w:bookmarkStart w:id="29" w:name="ksattoex32_2"/>
      <w:bookmarkEnd w:id="28"/>
      <w:bookmarkEnd w:id="29"/>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 PURSUANT TO 18 U.S.C. SECTION 1350, AS</w:t>
      </w:r>
    </w:p>
    <w:p>
      <w:pPr>
        <w:pStyle w:val="TextBody"/>
        <w:bidi w:val="0"/>
        <w:jc w:val="center"/>
        <w:rPr>
          <w:rFonts w:ascii="Times New Roman" w:hAnsi="Times New Roman"/>
          <w:b/>
          <w:color w:val="000000"/>
          <w:sz w:val="20"/>
        </w:rPr>
      </w:pPr>
      <w:r>
        <w:rPr>
          <w:rFonts w:ascii="Times New Roman" w:hAnsi="Times New Roman"/>
          <w:b/>
          <w:color w:val="000000"/>
          <w:sz w:val="20"/>
        </w:rPr>
        <w:t>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I, Steven Chan, Chief Financial Officer of Attovia Therapeutics, Inc. (the “Company”), hereby certify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32.2 (the “Periodic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8358" w:type="dxa"/>
        <w:jc w:val="left"/>
        <w:tblInd w:w="0" w:type="dxa"/>
        <w:tblLayout w:type="fixed"/>
        <w:tblCellMar>
          <w:top w:w="28" w:type="dxa"/>
          <w:left w:w="28" w:type="dxa"/>
          <w:bottom w:w="28" w:type="dxa"/>
          <w:right w:w="28" w:type="dxa"/>
        </w:tblCellMar>
      </w:tblPr>
      <w:tblGrid>
        <w:gridCol w:w="2116"/>
        <w:gridCol w:w="406"/>
        <w:gridCol w:w="5836"/>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Chan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Chan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 (Principal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8707/000119312526338037/d155197dex31.htm" TargetMode="External"/><Relationship Id="rId3" Type="http://schemas.openxmlformats.org/officeDocument/2006/relationships/hyperlink" Target="https://www.sec.gov/Archives/edgar/data/2058707/000119312526338037/d155197dex32.htm" TargetMode="External"/><Relationship Id="rId4" Type="http://schemas.openxmlformats.org/officeDocument/2006/relationships/hyperlink" Target="https://www.sec.gov/Archives/edgar/data/2058707/000119312526323618/d40469dex41.htm" TargetMode="External"/><Relationship Id="rId5" Type="http://schemas.openxmlformats.org/officeDocument/2006/relationships/hyperlink" Target="https://www.sec.gov/Archives/edgar/data/2058707/000119312526303256/d40469dex42.htm" TargetMode="External"/><Relationship Id="rId6" Type="http://schemas.openxmlformats.org/officeDocument/2006/relationships/hyperlink" Target="https://www.sec.gov/Archives/edgar/data/2058707/000119312526303256/d40469dex101.htm" TargetMode="External"/><Relationship Id="rId7" Type="http://schemas.openxmlformats.org/officeDocument/2006/relationships/hyperlink" Target="https://www.sec.gov/Archives/edgar/data/2058707/000119312526303256/d40469dex102.htm" TargetMode="External"/><Relationship Id="rId8" Type="http://schemas.openxmlformats.org/officeDocument/2006/relationships/hyperlink" Target="https://www.sec.gov/Archives/edgar/data/2058707/000119312526323618/d40469dex103.htm" TargetMode="External"/><Relationship Id="rId9" Type="http://schemas.openxmlformats.org/officeDocument/2006/relationships/hyperlink" Target="https://www.sec.gov/Archives/edgar/data/2058707/000119312526323618/d40469dex104.htm" TargetMode="External"/><Relationship Id="rId10" Type="http://schemas.openxmlformats.org/officeDocument/2006/relationships/hyperlink" Target="https://www.sec.gov/Archives/edgar/data/2058707/000119312526303256/d40469dex105.htm" TargetMode="External"/><Relationship Id="rId11" Type="http://schemas.openxmlformats.org/officeDocument/2006/relationships/hyperlink" Target="https://www.sec.gov/Archives/edgar/data/2058707/000119312526323618/d40469dex106.htm" TargetMode="External"/><Relationship Id="rId12" Type="http://schemas.openxmlformats.org/officeDocument/2006/relationships/hyperlink" Target="https://www.sec.gov/Archives/edgar/data/2058707/000119312526323618/d40469dex107.htm" TargetMode="External"/><Relationship Id="rId13" Type="http://schemas.openxmlformats.org/officeDocument/2006/relationships/hyperlink" Target="https://www.sec.gov/Archives/edgar/data/2058707/000119312526323618/d40469dex108.htm" TargetMode="External"/><Relationship Id="rId14" Type="http://schemas.openxmlformats.org/officeDocument/2006/relationships/hyperlink" Target="https://www.sec.gov/Archives/edgar/data/2058707/000119312526323618/d40469dex109.htm" TargetMode="External"/><Relationship Id="rId15" Type="http://schemas.openxmlformats.org/officeDocument/2006/relationships/hyperlink" Target="https://www.sec.gov/Archives/edgar/data/2058707/000119312526323618/d40469dex1010.htm" TargetMode="External"/><Relationship Id="rId16" Type="http://schemas.openxmlformats.org/officeDocument/2006/relationships/hyperlink" Target="https://www.sec.gov/Archives/edgar/data/2058707/000119312526303256/d40469dex109.htm" TargetMode="External"/><Relationship Id="rId17" Type="http://schemas.openxmlformats.org/officeDocument/2006/relationships/hyperlink" Target="https://www.sec.gov/Archives/edgar/data/2058707/000119312526303256/d40469dex1010.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65213</Words>
  <Characters>366436</Characters>
  <CharactersWithSpaces>432182</CharactersWithSpaces>
  <Paragraphs>6420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